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1BB" w:rsidRPr="003271FF" w:rsidRDefault="0073773E" w:rsidP="002E71BB">
      <w:pPr>
        <w:pStyle w:val="Sansinterligne"/>
        <w:jc w:val="center"/>
        <w:rPr>
          <w:rFonts w:cstheme="minorHAnsi"/>
          <w:b/>
          <w:bCs/>
          <w:color w:val="00B050"/>
          <w:lang w:val="en-GB"/>
        </w:rPr>
      </w:pPr>
      <w:r w:rsidRPr="003271FF">
        <w:rPr>
          <w:rFonts w:cstheme="minorHAnsi"/>
          <w:b/>
          <w:bCs/>
          <w:color w:val="00B050"/>
          <w:lang w:val="en-GB"/>
        </w:rPr>
        <w:t>African Human Rights Protection System</w:t>
      </w:r>
      <w:r w:rsidR="002E71BB" w:rsidRPr="003271FF">
        <w:rPr>
          <w:rFonts w:cstheme="minorHAnsi"/>
          <w:b/>
          <w:bCs/>
          <w:color w:val="00B050"/>
          <w:lang w:val="en-GB"/>
        </w:rPr>
        <w:t xml:space="preserve"> (AHRPS)</w:t>
      </w:r>
    </w:p>
    <w:p w:rsidR="0073773E" w:rsidRPr="003271FF" w:rsidRDefault="0073773E" w:rsidP="002E71BB">
      <w:pPr>
        <w:pStyle w:val="Sansinterligne"/>
        <w:jc w:val="center"/>
        <w:rPr>
          <w:rFonts w:cstheme="minorHAnsi"/>
          <w:lang w:val="en-GB"/>
        </w:rPr>
      </w:pPr>
      <w:r w:rsidRPr="003271FF">
        <w:rPr>
          <w:rFonts w:cstheme="minorHAnsi"/>
          <w:lang w:val="en-GB"/>
        </w:rPr>
        <w:t>Course of</w:t>
      </w:r>
    </w:p>
    <w:p w:rsidR="0073773E" w:rsidRPr="003271FF" w:rsidRDefault="0073773E" w:rsidP="0073773E">
      <w:pPr>
        <w:pStyle w:val="Sansinterligne"/>
        <w:jc w:val="center"/>
        <w:rPr>
          <w:rFonts w:cstheme="minorHAnsi"/>
          <w:lang w:val="en-GB"/>
        </w:rPr>
      </w:pPr>
      <w:r w:rsidRPr="003271FF">
        <w:rPr>
          <w:rFonts w:cstheme="minorHAnsi"/>
          <w:lang w:val="en-GB"/>
        </w:rPr>
        <w:t>Professor Khadija Elmadmad</w:t>
      </w:r>
    </w:p>
    <w:p w:rsidR="002E71BB" w:rsidRPr="003271FF" w:rsidRDefault="0073773E" w:rsidP="0073773E">
      <w:pPr>
        <w:pStyle w:val="Sansinterligne"/>
        <w:jc w:val="center"/>
        <w:rPr>
          <w:rFonts w:cstheme="minorHAnsi"/>
          <w:lang w:val="en-GB"/>
        </w:rPr>
      </w:pPr>
      <w:r w:rsidRPr="003271FF">
        <w:rPr>
          <w:rFonts w:cstheme="minorHAnsi"/>
          <w:lang w:val="en-GB"/>
        </w:rPr>
        <w:t xml:space="preserve">At the Rabat External </w:t>
      </w:r>
      <w:r w:rsidR="00A511E9">
        <w:rPr>
          <w:rFonts w:cstheme="minorHAnsi"/>
          <w:lang w:val="en-GB"/>
        </w:rPr>
        <w:t>Training</w:t>
      </w:r>
      <w:r w:rsidRPr="003271FF">
        <w:rPr>
          <w:rFonts w:cstheme="minorHAnsi"/>
          <w:lang w:val="en-GB"/>
        </w:rPr>
        <w:t xml:space="preserve"> </w:t>
      </w:r>
    </w:p>
    <w:p w:rsidR="0073773E" w:rsidRPr="003271FF" w:rsidRDefault="0073773E" w:rsidP="0073773E">
      <w:pPr>
        <w:pStyle w:val="Sansinterligne"/>
        <w:jc w:val="center"/>
        <w:rPr>
          <w:rFonts w:cstheme="minorHAnsi"/>
          <w:lang w:val="en-GB"/>
        </w:rPr>
      </w:pPr>
      <w:r w:rsidRPr="003271FF">
        <w:rPr>
          <w:rFonts w:cstheme="minorHAnsi"/>
          <w:lang w:val="en-GB"/>
        </w:rPr>
        <w:t xml:space="preserve">Organized by </w:t>
      </w:r>
    </w:p>
    <w:p w:rsidR="002E71BB" w:rsidRPr="003271FF" w:rsidRDefault="0073773E" w:rsidP="002E71BB">
      <w:pPr>
        <w:pStyle w:val="Sansinterligne"/>
        <w:jc w:val="center"/>
        <w:rPr>
          <w:rFonts w:cstheme="minorHAnsi"/>
          <w:lang w:val="en-GB"/>
        </w:rPr>
      </w:pPr>
      <w:r w:rsidRPr="003271FF">
        <w:rPr>
          <w:rFonts w:cstheme="minorHAnsi"/>
          <w:lang w:val="en-GB" w:eastAsia="fr-FR"/>
        </w:rPr>
        <w:t>The René Cassin Foundation</w:t>
      </w:r>
      <w:r w:rsidR="002E71BB" w:rsidRPr="003271FF">
        <w:rPr>
          <w:rFonts w:cstheme="minorHAnsi"/>
          <w:lang w:val="en-GB" w:eastAsia="fr-FR"/>
        </w:rPr>
        <w:t xml:space="preserve"> - </w:t>
      </w:r>
      <w:r w:rsidRPr="003271FF">
        <w:rPr>
          <w:rFonts w:cstheme="minorHAnsi"/>
          <w:lang w:val="en-GB" w:eastAsia="fr-FR"/>
        </w:rPr>
        <w:t>International Institute of Human Rights</w:t>
      </w:r>
    </w:p>
    <w:p w:rsidR="0073773E" w:rsidRPr="003271FF" w:rsidRDefault="0073773E" w:rsidP="002E71BB">
      <w:pPr>
        <w:pStyle w:val="Sansinterligne"/>
        <w:jc w:val="center"/>
        <w:rPr>
          <w:rFonts w:cstheme="minorHAnsi"/>
          <w:lang w:val="en-GB" w:eastAsia="fr-FR"/>
        </w:rPr>
      </w:pPr>
      <w:r w:rsidRPr="003271FF">
        <w:rPr>
          <w:rFonts w:cstheme="minorHAnsi"/>
          <w:lang w:val="en-GB" w:eastAsia="fr-FR"/>
        </w:rPr>
        <w:t>In partnership with</w:t>
      </w:r>
    </w:p>
    <w:p w:rsidR="003271FF" w:rsidRPr="003271FF" w:rsidRDefault="0073773E" w:rsidP="003271FF">
      <w:pPr>
        <w:pStyle w:val="Sansinterligne"/>
        <w:jc w:val="center"/>
        <w:rPr>
          <w:rFonts w:cstheme="minorHAnsi"/>
          <w:lang w:val="en-GB" w:eastAsia="fr-FR"/>
        </w:rPr>
      </w:pPr>
      <w:r w:rsidRPr="003271FF">
        <w:rPr>
          <w:rFonts w:cstheme="minorHAnsi"/>
          <w:lang w:val="en-GB" w:eastAsia="fr-FR"/>
        </w:rPr>
        <w:t xml:space="preserve">The MENA office of the Friedrich Naumann Foundation for Freedom, the National Human Rights Council and the Faculty of governance, Economics and Social Sciences of </w:t>
      </w:r>
    </w:p>
    <w:p w:rsidR="0073773E" w:rsidRPr="003271FF" w:rsidRDefault="0073773E" w:rsidP="003271FF">
      <w:pPr>
        <w:pStyle w:val="Sansinterligne"/>
        <w:jc w:val="center"/>
        <w:rPr>
          <w:rFonts w:cstheme="minorHAnsi"/>
          <w:lang w:val="en-GB" w:eastAsia="fr-FR"/>
        </w:rPr>
      </w:pPr>
      <w:r w:rsidRPr="003271FF">
        <w:rPr>
          <w:rFonts w:cstheme="minorHAnsi"/>
          <w:lang w:val="en-GB" w:eastAsia="fr-FR"/>
        </w:rPr>
        <w:t>Mohammed VI Polytechnic University</w:t>
      </w:r>
    </w:p>
    <w:p w:rsidR="0073773E" w:rsidRPr="003271FF" w:rsidRDefault="0073773E" w:rsidP="0073773E">
      <w:pPr>
        <w:pStyle w:val="Sansinterligne"/>
        <w:jc w:val="center"/>
        <w:rPr>
          <w:rFonts w:cstheme="minorHAnsi"/>
          <w:lang w:val="en-GB" w:eastAsia="fr-FR"/>
        </w:rPr>
      </w:pPr>
      <w:r w:rsidRPr="003271FF">
        <w:rPr>
          <w:rFonts w:cstheme="minorHAnsi"/>
          <w:lang w:val="en-GB" w:eastAsia="fr-FR"/>
        </w:rPr>
        <w:t>On</w:t>
      </w:r>
    </w:p>
    <w:p w:rsidR="0073773E" w:rsidRPr="003271FF" w:rsidRDefault="0073773E" w:rsidP="0073773E">
      <w:pPr>
        <w:pStyle w:val="Sansinterligne"/>
        <w:jc w:val="center"/>
        <w:rPr>
          <w:rFonts w:cstheme="minorHAnsi"/>
          <w:b/>
          <w:bCs/>
          <w:color w:val="0070C0"/>
          <w:lang w:val="en-GB"/>
        </w:rPr>
      </w:pPr>
      <w:r w:rsidRPr="003271FF">
        <w:rPr>
          <w:rFonts w:cstheme="minorHAnsi"/>
          <w:b/>
          <w:bCs/>
          <w:color w:val="0070C0"/>
          <w:lang w:val="en-GB"/>
        </w:rPr>
        <w:t>“Electoral Processes and International Human Rights Law”</w:t>
      </w:r>
    </w:p>
    <w:p w:rsidR="0073773E" w:rsidRPr="003271FF" w:rsidRDefault="0073773E" w:rsidP="0073773E">
      <w:pPr>
        <w:pStyle w:val="Sansinterligne"/>
        <w:jc w:val="center"/>
        <w:rPr>
          <w:rFonts w:cstheme="minorHAnsi"/>
          <w:lang w:val="en-GB" w:eastAsia="fr-FR"/>
        </w:rPr>
      </w:pPr>
      <w:r w:rsidRPr="003271FF">
        <w:rPr>
          <w:rFonts w:cstheme="minorHAnsi"/>
          <w:color w:val="000000" w:themeColor="text1"/>
          <w:lang w:val="en-GB" w:eastAsia="fr-FR"/>
        </w:rPr>
        <w:t xml:space="preserve">Rabat, </w:t>
      </w:r>
      <w:r w:rsidRPr="003271FF">
        <w:rPr>
          <w:rFonts w:cstheme="minorHAnsi"/>
          <w:lang w:val="en-GB" w:eastAsia="fr-FR"/>
        </w:rPr>
        <w:t>09 June 2026</w:t>
      </w:r>
    </w:p>
    <w:p w:rsidR="004F29A9" w:rsidRDefault="004F29A9" w:rsidP="0073773E">
      <w:pPr>
        <w:rPr>
          <w:rFonts w:cstheme="minorHAnsi"/>
          <w:b/>
          <w:bCs/>
          <w:color w:val="00B050"/>
          <w:lang w:val="en-GB"/>
        </w:rPr>
      </w:pPr>
    </w:p>
    <w:p w:rsidR="0073773E" w:rsidRPr="003271FF" w:rsidRDefault="004F29A9" w:rsidP="004F29A9">
      <w:pPr>
        <w:rPr>
          <w:rFonts w:cstheme="minorHAnsi"/>
          <w:b/>
          <w:bCs/>
          <w:color w:val="00B050"/>
          <w:lang w:val="en-GB"/>
        </w:rPr>
      </w:pPr>
      <w:r>
        <w:rPr>
          <w:rFonts w:cstheme="minorHAnsi"/>
          <w:b/>
          <w:bCs/>
          <w:color w:val="00B050"/>
          <w:lang w:val="en-GB"/>
        </w:rPr>
        <w:t>INTRODUCTION</w:t>
      </w:r>
    </w:p>
    <w:p w:rsidR="0073773E" w:rsidRPr="003271FF" w:rsidRDefault="0073773E" w:rsidP="0073773E">
      <w:pPr>
        <w:rPr>
          <w:rFonts w:cstheme="minorHAnsi"/>
          <w:b/>
          <w:bCs/>
          <w:color w:val="0070C0"/>
          <w:lang w:val="en-GB"/>
        </w:rPr>
      </w:pPr>
      <w:r w:rsidRPr="003271FF">
        <w:rPr>
          <w:rFonts w:cstheme="minorHAnsi"/>
          <w:b/>
          <w:bCs/>
          <w:lang w:val="en-GB"/>
        </w:rPr>
        <w:t>1</w:t>
      </w:r>
      <w:r w:rsidRPr="003271FF">
        <w:rPr>
          <w:rFonts w:cstheme="minorHAnsi"/>
          <w:b/>
          <w:bCs/>
          <w:color w:val="0070C0"/>
          <w:lang w:val="en-GB"/>
        </w:rPr>
        <w:t>. Human Rights Protection Systems</w:t>
      </w:r>
    </w:p>
    <w:p w:rsidR="0073773E" w:rsidRPr="003271FF" w:rsidRDefault="0073773E" w:rsidP="0073773E">
      <w:pPr>
        <w:numPr>
          <w:ilvl w:val="0"/>
          <w:numId w:val="1"/>
        </w:numPr>
        <w:rPr>
          <w:rFonts w:cstheme="minorHAnsi"/>
          <w:lang w:val="en-GB"/>
        </w:rPr>
      </w:pPr>
      <w:r w:rsidRPr="003271FF">
        <w:rPr>
          <w:rFonts w:cstheme="minorHAnsi"/>
          <w:b/>
          <w:bCs/>
          <w:lang w:val="en-GB"/>
        </w:rPr>
        <w:t>Definition</w:t>
      </w:r>
      <w:r w:rsidRPr="003271FF">
        <w:rPr>
          <w:rFonts w:cstheme="minorHAnsi"/>
          <w:lang w:val="en-GB"/>
        </w:rPr>
        <w:t>: Institutional and legal frameworks protecting the dignity, freedoms, and welfare of individuals and peoples.</w:t>
      </w:r>
    </w:p>
    <w:p w:rsidR="0073773E" w:rsidRPr="003271FF" w:rsidRDefault="0073773E" w:rsidP="0073773E">
      <w:pPr>
        <w:numPr>
          <w:ilvl w:val="0"/>
          <w:numId w:val="1"/>
        </w:numPr>
        <w:rPr>
          <w:rFonts w:cstheme="minorHAnsi"/>
          <w:lang w:val="en-GB"/>
        </w:rPr>
      </w:pPr>
      <w:r w:rsidRPr="003271FF">
        <w:rPr>
          <w:rFonts w:cstheme="minorHAnsi"/>
          <w:b/>
          <w:bCs/>
          <w:lang w:val="en-GB"/>
        </w:rPr>
        <w:t>Jurisdictional Levels</w:t>
      </w:r>
      <w:r w:rsidRPr="003271FF">
        <w:rPr>
          <w:rFonts w:cstheme="minorHAnsi"/>
          <w:lang w:val="en-GB"/>
        </w:rPr>
        <w:t>: Operating across universal (global), regional (continental), and domestic (national) systems.</w:t>
      </w:r>
    </w:p>
    <w:p w:rsidR="0073773E" w:rsidRPr="003271FF" w:rsidRDefault="0073773E" w:rsidP="0073773E">
      <w:pPr>
        <w:rPr>
          <w:rFonts w:cstheme="minorHAnsi"/>
          <w:b/>
          <w:bCs/>
          <w:color w:val="0070C0"/>
          <w:lang w:val="en-GB"/>
        </w:rPr>
      </w:pPr>
      <w:r w:rsidRPr="003271FF">
        <w:rPr>
          <w:rFonts w:cstheme="minorHAnsi"/>
          <w:b/>
          <w:bCs/>
          <w:lang w:val="en-GB"/>
        </w:rPr>
        <w:t>2</w:t>
      </w:r>
      <w:r w:rsidRPr="003271FF">
        <w:rPr>
          <w:rFonts w:cstheme="minorHAnsi"/>
          <w:b/>
          <w:bCs/>
          <w:color w:val="0070C0"/>
          <w:lang w:val="en-GB"/>
        </w:rPr>
        <w:t>. Regional Human Rights Protection Systems</w:t>
      </w:r>
    </w:p>
    <w:p w:rsidR="0073773E" w:rsidRPr="003271FF" w:rsidRDefault="0073773E" w:rsidP="0073773E">
      <w:pPr>
        <w:numPr>
          <w:ilvl w:val="0"/>
          <w:numId w:val="2"/>
        </w:numPr>
        <w:rPr>
          <w:rFonts w:cstheme="minorHAnsi"/>
          <w:lang w:val="en-GB"/>
        </w:rPr>
      </w:pPr>
      <w:r w:rsidRPr="003271FF">
        <w:rPr>
          <w:rFonts w:cstheme="minorHAnsi"/>
          <w:b/>
          <w:bCs/>
          <w:lang w:val="en-GB"/>
        </w:rPr>
        <w:t>Scope</w:t>
      </w:r>
      <w:r w:rsidRPr="003271FF">
        <w:rPr>
          <w:rFonts w:cstheme="minorHAnsi"/>
          <w:lang w:val="en-GB"/>
        </w:rPr>
        <w:t>: Geographical frameworks nested within the broader international human rights movement.</w:t>
      </w:r>
    </w:p>
    <w:p w:rsidR="0073773E" w:rsidRPr="003271FF" w:rsidRDefault="0073773E" w:rsidP="0073773E">
      <w:pPr>
        <w:numPr>
          <w:ilvl w:val="0"/>
          <w:numId w:val="2"/>
        </w:numPr>
        <w:rPr>
          <w:rFonts w:cstheme="minorHAnsi"/>
          <w:lang w:val="en-GB"/>
        </w:rPr>
      </w:pPr>
      <w:r w:rsidRPr="003271FF">
        <w:rPr>
          <w:rFonts w:cstheme="minorHAnsi"/>
          <w:b/>
          <w:bCs/>
          <w:lang w:val="en-GB"/>
        </w:rPr>
        <w:t>Function</w:t>
      </w:r>
      <w:r w:rsidRPr="003271FF">
        <w:rPr>
          <w:rFonts w:cstheme="minorHAnsi"/>
          <w:lang w:val="en-GB"/>
        </w:rPr>
        <w:t>: Localizing international norms to align with shared cultural, historical, and political values.</w:t>
      </w:r>
    </w:p>
    <w:p w:rsidR="0073773E" w:rsidRPr="003271FF" w:rsidRDefault="0073773E" w:rsidP="0073773E">
      <w:pPr>
        <w:numPr>
          <w:ilvl w:val="0"/>
          <w:numId w:val="2"/>
        </w:numPr>
        <w:rPr>
          <w:rFonts w:cstheme="minorHAnsi"/>
          <w:lang w:val="en-GB"/>
        </w:rPr>
      </w:pPr>
      <w:r w:rsidRPr="003271FF">
        <w:rPr>
          <w:rFonts w:cstheme="minorHAnsi"/>
          <w:b/>
          <w:bCs/>
          <w:lang w:val="en-GB"/>
        </w:rPr>
        <w:t>Three Established Systems</w:t>
      </w:r>
      <w:r w:rsidRPr="003271FF">
        <w:rPr>
          <w:rFonts w:cstheme="minorHAnsi"/>
          <w:lang w:val="en-GB"/>
        </w:rPr>
        <w:t>: The European, the Inter-American, and the African systems.</w:t>
      </w:r>
    </w:p>
    <w:p w:rsidR="0073773E" w:rsidRPr="003271FF" w:rsidRDefault="0073773E" w:rsidP="0073773E">
      <w:pPr>
        <w:rPr>
          <w:rFonts w:cstheme="minorHAnsi"/>
          <w:b/>
          <w:bCs/>
          <w:color w:val="0070C0"/>
          <w:lang w:val="en-GB"/>
        </w:rPr>
      </w:pPr>
      <w:r w:rsidRPr="003271FF">
        <w:rPr>
          <w:rFonts w:cstheme="minorHAnsi"/>
          <w:b/>
          <w:bCs/>
          <w:lang w:val="en-GB"/>
        </w:rPr>
        <w:t xml:space="preserve">3. </w:t>
      </w:r>
      <w:r w:rsidRPr="003271FF">
        <w:rPr>
          <w:rFonts w:cstheme="minorHAnsi"/>
          <w:b/>
          <w:bCs/>
          <w:color w:val="0070C0"/>
          <w:lang w:val="en-GB"/>
        </w:rPr>
        <w:t>Complementarity: The Need for Regional Systems</w:t>
      </w:r>
    </w:p>
    <w:p w:rsidR="00A96FD1" w:rsidRPr="003271FF" w:rsidRDefault="0073773E" w:rsidP="00A96FD1">
      <w:pPr>
        <w:numPr>
          <w:ilvl w:val="0"/>
          <w:numId w:val="3"/>
        </w:numPr>
        <w:rPr>
          <w:rFonts w:cstheme="minorHAnsi"/>
          <w:lang w:val="en-GB"/>
        </w:rPr>
      </w:pPr>
      <w:r w:rsidRPr="003271FF">
        <w:rPr>
          <w:rFonts w:cstheme="minorHAnsi"/>
          <w:b/>
          <w:bCs/>
          <w:lang w:val="en-GB"/>
        </w:rPr>
        <w:t>Global Alignment</w:t>
      </w:r>
      <w:r w:rsidRPr="003271FF">
        <w:rPr>
          <w:rFonts w:cstheme="minorHAnsi"/>
          <w:lang w:val="en-GB"/>
        </w:rPr>
        <w:t>: Complementing the United Natio</w:t>
      </w:r>
      <w:r w:rsidR="00A96FD1" w:rsidRPr="003271FF">
        <w:rPr>
          <w:rFonts w:cstheme="minorHAnsi"/>
          <w:lang w:val="en-GB"/>
        </w:rPr>
        <w:t>ns' global human rights efforts:</w:t>
      </w:r>
    </w:p>
    <w:p w:rsidR="0073773E" w:rsidRPr="003271FF" w:rsidRDefault="00904A7F" w:rsidP="00A96FD1">
      <w:pPr>
        <w:ind w:left="720"/>
        <w:rPr>
          <w:rFonts w:cstheme="minorHAnsi"/>
          <w:lang w:val="en-GB"/>
        </w:rPr>
      </w:pPr>
      <w:r>
        <w:rPr>
          <w:rFonts w:cstheme="minorHAnsi"/>
          <w:lang w:val="en-GB"/>
        </w:rPr>
        <w:t xml:space="preserve">Universality of Human Rights is the sum of positive regional specificities: </w:t>
      </w:r>
      <w:r w:rsidR="00A96FD1" w:rsidRPr="003271FF">
        <w:rPr>
          <w:rFonts w:cstheme="minorHAnsi"/>
          <w:b/>
          <w:bCs/>
          <w:lang w:val="en-GB"/>
        </w:rPr>
        <w:t xml:space="preserve">U= </w:t>
      </w:r>
      <w:r w:rsidR="00A32332" w:rsidRPr="003271FF">
        <w:rPr>
          <w:rFonts w:cstheme="minorHAnsi"/>
          <w:b/>
          <w:bCs/>
          <w:lang w:val="en-GB"/>
        </w:rPr>
        <w:t>s</w:t>
      </w:r>
      <w:r w:rsidR="00A96FD1" w:rsidRPr="003271FF">
        <w:rPr>
          <w:rFonts w:cstheme="minorHAnsi"/>
          <w:b/>
          <w:bCs/>
          <w:lang w:val="en-GB"/>
        </w:rPr>
        <w:t>1+</w:t>
      </w:r>
      <w:r w:rsidR="00A32332" w:rsidRPr="003271FF">
        <w:rPr>
          <w:rFonts w:cstheme="minorHAnsi"/>
          <w:b/>
          <w:bCs/>
          <w:lang w:val="en-GB"/>
        </w:rPr>
        <w:t>s</w:t>
      </w:r>
      <w:r w:rsidR="00A96FD1" w:rsidRPr="003271FF">
        <w:rPr>
          <w:rFonts w:cstheme="minorHAnsi"/>
          <w:b/>
          <w:bCs/>
          <w:lang w:val="en-GB"/>
        </w:rPr>
        <w:t>2+</w:t>
      </w:r>
      <w:r w:rsidR="00A32332" w:rsidRPr="003271FF">
        <w:rPr>
          <w:rFonts w:cstheme="minorHAnsi"/>
          <w:b/>
          <w:bCs/>
          <w:lang w:val="en-GB"/>
        </w:rPr>
        <w:t>s</w:t>
      </w:r>
      <w:r w:rsidR="00A96FD1" w:rsidRPr="003271FF">
        <w:rPr>
          <w:rFonts w:cstheme="minorHAnsi"/>
          <w:b/>
          <w:bCs/>
          <w:lang w:val="en-GB"/>
        </w:rPr>
        <w:t>3</w:t>
      </w:r>
      <w:r w:rsidR="00A96FD1" w:rsidRPr="003271FF">
        <w:rPr>
          <w:rFonts w:cstheme="minorHAnsi"/>
          <w:lang w:val="en-GB"/>
        </w:rPr>
        <w:t>…..</w:t>
      </w:r>
    </w:p>
    <w:p w:rsidR="0073773E" w:rsidRPr="003271FF" w:rsidRDefault="0073773E" w:rsidP="0073773E">
      <w:pPr>
        <w:numPr>
          <w:ilvl w:val="0"/>
          <w:numId w:val="3"/>
        </w:numPr>
        <w:rPr>
          <w:rFonts w:cstheme="minorHAnsi"/>
          <w:lang w:val="en-GB"/>
        </w:rPr>
      </w:pPr>
      <w:r w:rsidRPr="003271FF">
        <w:rPr>
          <w:rFonts w:cstheme="minorHAnsi"/>
          <w:b/>
          <w:bCs/>
          <w:lang w:val="en-GB"/>
        </w:rPr>
        <w:t>Contextual Enforcement</w:t>
      </w:r>
      <w:r w:rsidRPr="003271FF">
        <w:rPr>
          <w:rFonts w:cstheme="minorHAnsi"/>
          <w:lang w:val="en-GB"/>
        </w:rPr>
        <w:t>: Enforcing region-specific treaties tailored to localized geopolitical challenges.</w:t>
      </w:r>
    </w:p>
    <w:p w:rsidR="0073773E" w:rsidRPr="003271FF" w:rsidRDefault="0073773E" w:rsidP="0073773E">
      <w:pPr>
        <w:numPr>
          <w:ilvl w:val="0"/>
          <w:numId w:val="3"/>
        </w:numPr>
        <w:rPr>
          <w:rFonts w:cstheme="minorHAnsi"/>
          <w:lang w:val="en-GB"/>
        </w:rPr>
      </w:pPr>
      <w:r w:rsidRPr="003271FF">
        <w:rPr>
          <w:rFonts w:cstheme="minorHAnsi"/>
          <w:b/>
          <w:bCs/>
          <w:lang w:val="en-GB"/>
        </w:rPr>
        <w:t>Access to Justice</w:t>
      </w:r>
      <w:r w:rsidRPr="003271FF">
        <w:rPr>
          <w:rFonts w:cstheme="minorHAnsi"/>
          <w:lang w:val="en-GB"/>
        </w:rPr>
        <w:t>: Providing judicial or quasi-judicial avenues for redress when domestic courts fail.</w:t>
      </w:r>
    </w:p>
    <w:p w:rsidR="0073773E" w:rsidRPr="003271FF" w:rsidRDefault="0073773E" w:rsidP="0073773E">
      <w:pPr>
        <w:numPr>
          <w:ilvl w:val="0"/>
          <w:numId w:val="3"/>
        </w:numPr>
        <w:rPr>
          <w:rFonts w:cstheme="minorHAnsi"/>
          <w:lang w:val="en-GB"/>
        </w:rPr>
      </w:pPr>
      <w:r w:rsidRPr="003271FF">
        <w:rPr>
          <w:rFonts w:cstheme="minorHAnsi"/>
          <w:b/>
          <w:bCs/>
          <w:lang w:val="en-GB"/>
        </w:rPr>
        <w:t>Global Impact</w:t>
      </w:r>
      <w:r w:rsidRPr="003271FF">
        <w:rPr>
          <w:rFonts w:cstheme="minorHAnsi"/>
          <w:lang w:val="en-GB"/>
        </w:rPr>
        <w:t>: Serving as vital pillars for upholding and enforcing human rights worldwide.</w:t>
      </w:r>
    </w:p>
    <w:p w:rsidR="0073773E" w:rsidRPr="003271FF" w:rsidRDefault="0073773E" w:rsidP="0073773E">
      <w:pPr>
        <w:rPr>
          <w:rFonts w:cstheme="minorHAnsi"/>
          <w:b/>
          <w:bCs/>
          <w:color w:val="0070C0"/>
          <w:lang w:val="en-GB"/>
        </w:rPr>
      </w:pPr>
      <w:r w:rsidRPr="003271FF">
        <w:rPr>
          <w:rFonts w:cstheme="minorHAnsi"/>
          <w:b/>
          <w:bCs/>
          <w:lang w:val="en-GB"/>
        </w:rPr>
        <w:t>4</w:t>
      </w:r>
      <w:r w:rsidRPr="003271FF">
        <w:rPr>
          <w:rFonts w:cstheme="minorHAnsi"/>
          <w:b/>
          <w:bCs/>
          <w:color w:val="0070C0"/>
          <w:lang w:val="en-GB"/>
        </w:rPr>
        <w:t>. Uniqueness of the African Human Rights System</w:t>
      </w:r>
    </w:p>
    <w:p w:rsidR="0073773E" w:rsidRPr="003271FF" w:rsidRDefault="0073773E" w:rsidP="0073773E">
      <w:pPr>
        <w:numPr>
          <w:ilvl w:val="0"/>
          <w:numId w:val="4"/>
        </w:numPr>
        <w:rPr>
          <w:rFonts w:cstheme="minorHAnsi"/>
          <w:lang w:val="en-GB"/>
        </w:rPr>
      </w:pPr>
      <w:r w:rsidRPr="003271FF">
        <w:rPr>
          <w:rFonts w:cstheme="minorHAnsi"/>
          <w:b/>
          <w:bCs/>
          <w:lang w:val="en-GB"/>
        </w:rPr>
        <w:t>Historical Evolution</w:t>
      </w:r>
      <w:r w:rsidRPr="003271FF">
        <w:rPr>
          <w:rFonts w:cstheme="minorHAnsi"/>
          <w:lang w:val="en-GB"/>
        </w:rPr>
        <w:t>: Distinct trajectory shaped by anti-colonialism and regional state-building.</w:t>
      </w:r>
    </w:p>
    <w:p w:rsidR="0073773E" w:rsidRPr="003271FF" w:rsidRDefault="0073773E" w:rsidP="0073773E">
      <w:pPr>
        <w:numPr>
          <w:ilvl w:val="0"/>
          <w:numId w:val="4"/>
        </w:numPr>
        <w:rPr>
          <w:rFonts w:cstheme="minorHAnsi"/>
          <w:lang w:val="en-GB"/>
        </w:rPr>
      </w:pPr>
      <w:r w:rsidRPr="003271FF">
        <w:rPr>
          <w:rFonts w:cstheme="minorHAnsi"/>
          <w:b/>
          <w:bCs/>
          <w:lang w:val="en-GB"/>
        </w:rPr>
        <w:t>Normative Specificity</w:t>
      </w:r>
      <w:r w:rsidRPr="003271FF">
        <w:rPr>
          <w:rFonts w:cstheme="minorHAnsi"/>
          <w:lang w:val="en-GB"/>
        </w:rPr>
        <w:t>: Balancing individual civil liberties with collective rights and duties.</w:t>
      </w:r>
    </w:p>
    <w:p w:rsidR="003271FF" w:rsidRDefault="003271FF" w:rsidP="0073773E">
      <w:pPr>
        <w:rPr>
          <w:rFonts w:cstheme="minorHAnsi"/>
          <w:b/>
          <w:bCs/>
        </w:rPr>
      </w:pPr>
    </w:p>
    <w:p w:rsidR="0073773E" w:rsidRPr="003271FF" w:rsidRDefault="0073773E" w:rsidP="0073773E">
      <w:pPr>
        <w:rPr>
          <w:rFonts w:cstheme="minorHAnsi"/>
          <w:b/>
          <w:bCs/>
          <w:lang w:val="en-GB"/>
        </w:rPr>
      </w:pPr>
      <w:r w:rsidRPr="003271FF">
        <w:rPr>
          <w:rFonts w:cstheme="minorHAnsi"/>
          <w:b/>
          <w:bCs/>
          <w:lang w:val="en-GB"/>
        </w:rPr>
        <w:lastRenderedPageBreak/>
        <w:t xml:space="preserve">5. </w:t>
      </w:r>
      <w:r w:rsidRPr="003271FF">
        <w:rPr>
          <w:rFonts w:cstheme="minorHAnsi"/>
          <w:b/>
          <w:bCs/>
          <w:color w:val="0070C0"/>
          <w:lang w:val="en-GB"/>
        </w:rPr>
        <w:t>Synergy with the Training Theme</w:t>
      </w:r>
    </w:p>
    <w:p w:rsidR="0073773E" w:rsidRPr="003271FF" w:rsidRDefault="0073773E" w:rsidP="0073773E">
      <w:pPr>
        <w:numPr>
          <w:ilvl w:val="0"/>
          <w:numId w:val="5"/>
        </w:numPr>
        <w:rPr>
          <w:rFonts w:cstheme="minorHAnsi"/>
          <w:lang w:val="en-GB"/>
        </w:rPr>
      </w:pPr>
      <w:r w:rsidRPr="003271FF">
        <w:rPr>
          <w:rFonts w:cstheme="minorHAnsi"/>
          <w:b/>
          <w:bCs/>
          <w:lang w:val="en-GB"/>
        </w:rPr>
        <w:t>Application</w:t>
      </w:r>
      <w:r w:rsidRPr="003271FF">
        <w:rPr>
          <w:rFonts w:cstheme="minorHAnsi"/>
          <w:lang w:val="en-GB"/>
        </w:rPr>
        <w:t>: Using African regional instruments to govern elections and political participation.</w:t>
      </w:r>
    </w:p>
    <w:p w:rsidR="0073773E" w:rsidRPr="003271FF" w:rsidRDefault="0073773E" w:rsidP="0073773E">
      <w:pPr>
        <w:numPr>
          <w:ilvl w:val="0"/>
          <w:numId w:val="5"/>
        </w:numPr>
        <w:rPr>
          <w:rFonts w:cstheme="minorHAnsi"/>
          <w:lang w:val="en-GB"/>
        </w:rPr>
      </w:pPr>
      <w:r w:rsidRPr="003271FF">
        <w:rPr>
          <w:rFonts w:cstheme="minorHAnsi"/>
          <w:b/>
          <w:bCs/>
          <w:lang w:val="en-GB"/>
        </w:rPr>
        <w:t>Core Focus</w:t>
      </w:r>
      <w:r w:rsidRPr="003271FF">
        <w:rPr>
          <w:rFonts w:cstheme="minorHAnsi"/>
          <w:lang w:val="en-GB"/>
        </w:rPr>
        <w:t xml:space="preserve">: Direct alignment with the theme: </w:t>
      </w:r>
      <w:r w:rsidRPr="003271FF">
        <w:rPr>
          <w:rFonts w:cstheme="minorHAnsi"/>
          <w:i/>
          <w:iCs/>
          <w:lang w:val="en-GB"/>
        </w:rPr>
        <w:t>“Electoral Processes and International Human Rights Law.”</w:t>
      </w:r>
    </w:p>
    <w:p w:rsidR="0073773E" w:rsidRPr="003271FF" w:rsidRDefault="0073773E" w:rsidP="0073773E">
      <w:pPr>
        <w:rPr>
          <w:rFonts w:cstheme="minorHAnsi"/>
          <w:b/>
          <w:bCs/>
          <w:color w:val="00B050"/>
          <w:lang w:val="en-GB"/>
        </w:rPr>
      </w:pPr>
      <w:r w:rsidRPr="003271FF">
        <w:rPr>
          <w:rFonts w:cstheme="minorHAnsi"/>
          <w:b/>
          <w:bCs/>
          <w:color w:val="00B050"/>
          <w:lang w:val="en-GB"/>
        </w:rPr>
        <w:t>I. HISTORICAL DEVELOPMENT OF THE AFRICAN SYSTEM</w:t>
      </w:r>
    </w:p>
    <w:p w:rsidR="0073773E" w:rsidRPr="003271FF" w:rsidRDefault="0073773E" w:rsidP="0073773E">
      <w:pPr>
        <w:rPr>
          <w:rFonts w:cstheme="minorHAnsi"/>
          <w:lang w:val="en-GB"/>
        </w:rPr>
      </w:pPr>
      <w:r w:rsidRPr="003271FF">
        <w:rPr>
          <w:rFonts w:cstheme="minorHAnsi"/>
          <w:lang w:val="en-GB"/>
        </w:rPr>
        <w:t>The African system developed within a unique historical, political, and cultural context.</w:t>
      </w:r>
    </w:p>
    <w:p w:rsidR="0073773E" w:rsidRPr="003271FF" w:rsidRDefault="0073773E" w:rsidP="0073773E">
      <w:pPr>
        <w:rPr>
          <w:rFonts w:cstheme="minorHAnsi"/>
          <w:b/>
          <w:bCs/>
          <w:color w:val="0070C0"/>
        </w:rPr>
      </w:pPr>
      <w:r w:rsidRPr="003271FF">
        <w:rPr>
          <w:rFonts w:cstheme="minorHAnsi"/>
          <w:b/>
          <w:bCs/>
        </w:rPr>
        <w:t>1</w:t>
      </w:r>
      <w:r w:rsidRPr="003271FF">
        <w:rPr>
          <w:rFonts w:cstheme="minorHAnsi"/>
          <w:b/>
          <w:bCs/>
          <w:color w:val="0070C0"/>
        </w:rPr>
        <w:t>. Historical Background</w:t>
      </w:r>
    </w:p>
    <w:p w:rsidR="0073773E" w:rsidRPr="003271FF" w:rsidRDefault="0073773E" w:rsidP="0073773E">
      <w:pPr>
        <w:numPr>
          <w:ilvl w:val="0"/>
          <w:numId w:val="6"/>
        </w:numPr>
        <w:rPr>
          <w:rFonts w:cstheme="minorHAnsi"/>
        </w:rPr>
      </w:pPr>
      <w:r w:rsidRPr="003271FF">
        <w:rPr>
          <w:rFonts w:cstheme="minorHAnsi"/>
          <w:b/>
          <w:bCs/>
        </w:rPr>
        <w:t>The Colonial Legacy</w:t>
      </w:r>
      <w:r w:rsidRPr="003271FF">
        <w:rPr>
          <w:rFonts w:cstheme="minorHAnsi"/>
        </w:rPr>
        <w:t>:</w:t>
      </w:r>
    </w:p>
    <w:p w:rsidR="0073773E" w:rsidRPr="003271FF" w:rsidRDefault="0073773E" w:rsidP="0073773E">
      <w:pPr>
        <w:numPr>
          <w:ilvl w:val="1"/>
          <w:numId w:val="6"/>
        </w:numPr>
        <w:rPr>
          <w:rFonts w:cstheme="minorHAnsi"/>
          <w:lang w:val="en-GB"/>
        </w:rPr>
      </w:pPr>
      <w:r w:rsidRPr="003271FF">
        <w:rPr>
          <w:rFonts w:cstheme="minorHAnsi"/>
          <w:lang w:val="en-GB"/>
        </w:rPr>
        <w:t>Near-total absence of human rights protections during the colonial era.</w:t>
      </w:r>
    </w:p>
    <w:p w:rsidR="0073773E" w:rsidRPr="003271FF" w:rsidRDefault="0073773E" w:rsidP="0073773E">
      <w:pPr>
        <w:numPr>
          <w:ilvl w:val="1"/>
          <w:numId w:val="6"/>
        </w:numPr>
        <w:rPr>
          <w:rFonts w:cstheme="minorHAnsi"/>
          <w:lang w:val="en-GB"/>
        </w:rPr>
      </w:pPr>
      <w:r w:rsidRPr="003271FF">
        <w:rPr>
          <w:rFonts w:cstheme="minorHAnsi"/>
          <w:lang w:val="en-GB"/>
        </w:rPr>
        <w:t xml:space="preserve">Prevalence of racial domination, forced </w:t>
      </w:r>
      <w:r w:rsidR="003F2EA3" w:rsidRPr="003271FF">
        <w:rPr>
          <w:rFonts w:cstheme="minorHAnsi"/>
          <w:lang w:val="en-GB"/>
        </w:rPr>
        <w:t>labour</w:t>
      </w:r>
      <w:r w:rsidRPr="003271FF">
        <w:rPr>
          <w:rFonts w:cstheme="minorHAnsi"/>
          <w:lang w:val="en-GB"/>
        </w:rPr>
        <w:t>, political repression, land dispossession, and denial of political participation.</w:t>
      </w:r>
    </w:p>
    <w:p w:rsidR="0073773E" w:rsidRPr="003271FF" w:rsidRDefault="0073773E" w:rsidP="0073773E">
      <w:pPr>
        <w:numPr>
          <w:ilvl w:val="0"/>
          <w:numId w:val="6"/>
        </w:numPr>
        <w:rPr>
          <w:rFonts w:cstheme="minorHAnsi"/>
          <w:lang w:val="en-GB"/>
        </w:rPr>
      </w:pPr>
      <w:r w:rsidRPr="003271FF">
        <w:rPr>
          <w:rFonts w:cstheme="minorHAnsi"/>
          <w:b/>
          <w:bCs/>
          <w:lang w:val="en-GB"/>
        </w:rPr>
        <w:t>The Post-Independence Era (1950s–1970s)</w:t>
      </w:r>
      <w:r w:rsidRPr="003271FF">
        <w:rPr>
          <w:rFonts w:cstheme="minorHAnsi"/>
          <w:lang w:val="en-GB"/>
        </w:rPr>
        <w:t>:</w:t>
      </w:r>
    </w:p>
    <w:p w:rsidR="0073773E" w:rsidRPr="003271FF" w:rsidRDefault="0073773E" w:rsidP="0073773E">
      <w:pPr>
        <w:numPr>
          <w:ilvl w:val="1"/>
          <w:numId w:val="6"/>
        </w:numPr>
        <w:rPr>
          <w:rFonts w:cstheme="minorHAnsi"/>
          <w:lang w:val="en-GB"/>
        </w:rPr>
      </w:pPr>
      <w:r w:rsidRPr="003271FF">
        <w:rPr>
          <w:rFonts w:cstheme="minorHAnsi"/>
          <w:lang w:val="en-GB"/>
        </w:rPr>
        <w:t>Mobilization of African leaders around anti-colonial solidarity.</w:t>
      </w:r>
    </w:p>
    <w:p w:rsidR="0073773E" w:rsidRPr="003271FF" w:rsidRDefault="001F2A7A" w:rsidP="0073773E">
      <w:pPr>
        <w:numPr>
          <w:ilvl w:val="1"/>
          <w:numId w:val="6"/>
        </w:numPr>
        <w:rPr>
          <w:rFonts w:cstheme="minorHAnsi"/>
          <w:lang w:val="en-GB"/>
        </w:rPr>
      </w:pPr>
      <w:r w:rsidRPr="003271FF">
        <w:rPr>
          <w:rFonts w:cstheme="minorHAnsi"/>
          <w:lang w:val="en-GB"/>
        </w:rPr>
        <w:t>Strict defenc</w:t>
      </w:r>
      <w:r w:rsidR="0073773E" w:rsidRPr="003271FF">
        <w:rPr>
          <w:rFonts w:cstheme="minorHAnsi"/>
          <w:lang w:val="en-GB"/>
        </w:rPr>
        <w:t>e of state sovereignty and territorial integrity.</w:t>
      </w:r>
    </w:p>
    <w:p w:rsidR="0073773E" w:rsidRPr="003271FF" w:rsidRDefault="0073773E" w:rsidP="0073773E">
      <w:pPr>
        <w:numPr>
          <w:ilvl w:val="1"/>
          <w:numId w:val="6"/>
        </w:numPr>
        <w:rPr>
          <w:rFonts w:cstheme="minorHAnsi"/>
          <w:lang w:val="en-GB"/>
        </w:rPr>
      </w:pPr>
      <w:r w:rsidRPr="003271FF">
        <w:rPr>
          <w:rFonts w:cstheme="minorHAnsi"/>
          <w:lang w:val="en-GB"/>
        </w:rPr>
        <w:t>Prioritization of national unity and economic development.</w:t>
      </w:r>
    </w:p>
    <w:p w:rsidR="0073773E" w:rsidRPr="003271FF" w:rsidRDefault="0073773E" w:rsidP="0073773E">
      <w:pPr>
        <w:numPr>
          <w:ilvl w:val="1"/>
          <w:numId w:val="6"/>
        </w:numPr>
        <w:rPr>
          <w:rFonts w:cstheme="minorHAnsi"/>
          <w:lang w:val="en-GB"/>
        </w:rPr>
      </w:pPr>
      <w:r w:rsidRPr="003271FF">
        <w:rPr>
          <w:rFonts w:cstheme="minorHAnsi"/>
          <w:lang w:val="en-GB"/>
        </w:rPr>
        <w:t>Affirmation of distinct African cultural diversity.</w:t>
      </w:r>
    </w:p>
    <w:p w:rsidR="0073773E" w:rsidRPr="003271FF" w:rsidRDefault="0073773E" w:rsidP="0073773E">
      <w:pPr>
        <w:numPr>
          <w:ilvl w:val="1"/>
          <w:numId w:val="6"/>
        </w:numPr>
        <w:rPr>
          <w:rFonts w:cstheme="minorHAnsi"/>
          <w:lang w:val="en-GB"/>
        </w:rPr>
      </w:pPr>
      <w:r w:rsidRPr="003271FF">
        <w:rPr>
          <w:rFonts w:cstheme="minorHAnsi"/>
          <w:b/>
          <w:bCs/>
          <w:lang w:val="en-GB"/>
        </w:rPr>
        <w:t>Institutional Outcome</w:t>
      </w:r>
      <w:r w:rsidRPr="003271FF">
        <w:rPr>
          <w:rFonts w:cstheme="minorHAnsi"/>
          <w:lang w:val="en-GB"/>
        </w:rPr>
        <w:t>: The creation of the Organization</w:t>
      </w:r>
      <w:r w:rsidR="008E0D22" w:rsidRPr="003271FF">
        <w:rPr>
          <w:rFonts w:cstheme="minorHAnsi"/>
          <w:lang w:val="en-GB"/>
        </w:rPr>
        <w:t xml:space="preserve"> of African Unity (OAU) in 1963 (25 May) </w:t>
      </w:r>
      <w:r w:rsidR="00521C7F" w:rsidRPr="003271FF">
        <w:rPr>
          <w:rFonts w:cstheme="minorHAnsi"/>
          <w:lang w:val="en-GB"/>
        </w:rPr>
        <w:t xml:space="preserve">; succeeded by the AU on </w:t>
      </w:r>
    </w:p>
    <w:p w:rsidR="0073773E" w:rsidRPr="003271FF" w:rsidRDefault="0073773E" w:rsidP="0073773E">
      <w:pPr>
        <w:rPr>
          <w:rFonts w:cstheme="minorHAnsi"/>
          <w:b/>
          <w:bCs/>
          <w:color w:val="0070C0"/>
          <w:lang w:val="en-GB"/>
        </w:rPr>
      </w:pPr>
      <w:r w:rsidRPr="003271FF">
        <w:rPr>
          <w:rFonts w:cstheme="minorHAnsi"/>
          <w:b/>
          <w:bCs/>
          <w:color w:val="0070C0"/>
          <w:lang w:val="en-GB"/>
        </w:rPr>
        <w:t>2. Emergence of the Regional Human Rights Framework</w:t>
      </w:r>
    </w:p>
    <w:p w:rsidR="0073773E" w:rsidRPr="003271FF" w:rsidRDefault="0073773E" w:rsidP="0073773E">
      <w:pPr>
        <w:numPr>
          <w:ilvl w:val="0"/>
          <w:numId w:val="7"/>
        </w:numPr>
        <w:rPr>
          <w:rFonts w:cstheme="minorHAnsi"/>
          <w:lang w:val="en-GB"/>
        </w:rPr>
      </w:pPr>
      <w:r w:rsidRPr="003271FF">
        <w:rPr>
          <w:rFonts w:cstheme="minorHAnsi"/>
          <w:b/>
          <w:bCs/>
          <w:lang w:val="en-GB"/>
        </w:rPr>
        <w:t>Limitations of the OAU Era</w:t>
      </w:r>
      <w:r w:rsidRPr="003271FF">
        <w:rPr>
          <w:rFonts w:cstheme="minorHAnsi"/>
          <w:lang w:val="en-GB"/>
        </w:rPr>
        <w:t>:</w:t>
      </w:r>
    </w:p>
    <w:p w:rsidR="0073773E" w:rsidRPr="003271FF" w:rsidRDefault="0073773E" w:rsidP="0073773E">
      <w:pPr>
        <w:numPr>
          <w:ilvl w:val="1"/>
          <w:numId w:val="7"/>
        </w:numPr>
        <w:rPr>
          <w:rFonts w:cstheme="minorHAnsi"/>
          <w:lang w:val="en-GB"/>
        </w:rPr>
      </w:pPr>
      <w:r w:rsidRPr="003271FF">
        <w:rPr>
          <w:rFonts w:cstheme="minorHAnsi"/>
          <w:lang w:val="en-GB"/>
        </w:rPr>
        <w:t>Primary institutional focus on decolonization, non-interference, and territorial integrity.</w:t>
      </w:r>
    </w:p>
    <w:p w:rsidR="0073773E" w:rsidRPr="003271FF" w:rsidRDefault="0073773E" w:rsidP="0073773E">
      <w:pPr>
        <w:numPr>
          <w:ilvl w:val="1"/>
          <w:numId w:val="7"/>
        </w:numPr>
        <w:rPr>
          <w:rFonts w:cstheme="minorHAnsi"/>
          <w:lang w:val="en-GB"/>
        </w:rPr>
      </w:pPr>
      <w:r w:rsidRPr="003271FF">
        <w:rPr>
          <w:rFonts w:cstheme="minorHAnsi"/>
          <w:lang w:val="en-GB"/>
        </w:rPr>
        <w:t>Weak structural mechanisms for regional human rights oversight.</w:t>
      </w:r>
    </w:p>
    <w:p w:rsidR="0073773E" w:rsidRPr="003271FF" w:rsidRDefault="0073773E" w:rsidP="0073773E">
      <w:pPr>
        <w:numPr>
          <w:ilvl w:val="1"/>
          <w:numId w:val="7"/>
        </w:numPr>
        <w:rPr>
          <w:rFonts w:cstheme="minorHAnsi"/>
          <w:lang w:val="en-GB"/>
        </w:rPr>
      </w:pPr>
      <w:r w:rsidRPr="003271FF">
        <w:rPr>
          <w:rFonts w:cstheme="minorHAnsi"/>
          <w:lang w:val="en-GB"/>
        </w:rPr>
        <w:t>Severe rights abuses under certain dictatorial regimes (e.g., Idi Amin in Uganda).</w:t>
      </w:r>
    </w:p>
    <w:p w:rsidR="0073773E" w:rsidRPr="003271FF" w:rsidRDefault="0073773E" w:rsidP="0073773E">
      <w:pPr>
        <w:numPr>
          <w:ilvl w:val="1"/>
          <w:numId w:val="7"/>
        </w:numPr>
        <w:rPr>
          <w:rFonts w:cstheme="minorHAnsi"/>
          <w:lang w:val="en-GB"/>
        </w:rPr>
      </w:pPr>
      <w:r w:rsidRPr="003271FF">
        <w:rPr>
          <w:rFonts w:cstheme="minorHAnsi"/>
          <w:lang w:val="en-GB"/>
        </w:rPr>
        <w:t>Intense internal and international pressure to establish an African human rights mechanism.</w:t>
      </w:r>
    </w:p>
    <w:p w:rsidR="0073773E" w:rsidRPr="003271FF" w:rsidRDefault="0073773E" w:rsidP="00527632">
      <w:pPr>
        <w:numPr>
          <w:ilvl w:val="0"/>
          <w:numId w:val="7"/>
        </w:numPr>
        <w:rPr>
          <w:rFonts w:cstheme="minorHAnsi"/>
          <w:lang w:val="en-GB"/>
        </w:rPr>
      </w:pPr>
      <w:r w:rsidRPr="003271FF">
        <w:rPr>
          <w:rFonts w:cstheme="minorHAnsi"/>
          <w:b/>
          <w:bCs/>
          <w:lang w:val="en-GB"/>
        </w:rPr>
        <w:t>Key Milestones in Designing the Architecture</w:t>
      </w:r>
      <w:r w:rsidRPr="003271FF">
        <w:rPr>
          <w:rFonts w:cstheme="minorHAnsi"/>
          <w:lang w:val="en-GB"/>
        </w:rPr>
        <w:t>:</w:t>
      </w:r>
      <w:r w:rsidR="008E0D22" w:rsidRPr="003271FF">
        <w:rPr>
          <w:rFonts w:cstheme="minorHAnsi"/>
          <w:lang w:val="en-GB"/>
        </w:rPr>
        <w:t xml:space="preserve"> </w:t>
      </w:r>
    </w:p>
    <w:p w:rsidR="0073773E" w:rsidRPr="003271FF" w:rsidRDefault="0073773E" w:rsidP="0073773E">
      <w:pPr>
        <w:numPr>
          <w:ilvl w:val="1"/>
          <w:numId w:val="7"/>
        </w:numPr>
        <w:rPr>
          <w:rFonts w:cstheme="minorHAnsi"/>
          <w:lang w:val="en-GB"/>
        </w:rPr>
      </w:pPr>
      <w:r w:rsidRPr="003271FF">
        <w:rPr>
          <w:rFonts w:cstheme="minorHAnsi"/>
          <w:b/>
          <w:bCs/>
          <w:lang w:val="en-GB"/>
        </w:rPr>
        <w:t>1961 (Lagos, Nigeria)</w:t>
      </w:r>
      <w:r w:rsidRPr="003271FF">
        <w:rPr>
          <w:rFonts w:cstheme="minorHAnsi"/>
          <w:lang w:val="en-GB"/>
        </w:rPr>
        <w:t>: Concept first formally formulated during a congress of African jurists (</w:t>
      </w:r>
      <w:r w:rsidRPr="003271FF">
        <w:rPr>
          <w:rFonts w:cstheme="minorHAnsi"/>
          <w:i/>
          <w:iCs/>
          <w:lang w:val="en-GB"/>
        </w:rPr>
        <w:t>The Law of Lagos</w:t>
      </w:r>
      <w:r w:rsidRPr="003271FF">
        <w:rPr>
          <w:rFonts w:cstheme="minorHAnsi"/>
          <w:lang w:val="en-GB"/>
        </w:rPr>
        <w:t>).</w:t>
      </w:r>
    </w:p>
    <w:p w:rsidR="0073773E" w:rsidRPr="003271FF" w:rsidRDefault="0073773E" w:rsidP="0073773E">
      <w:pPr>
        <w:numPr>
          <w:ilvl w:val="1"/>
          <w:numId w:val="7"/>
        </w:numPr>
        <w:rPr>
          <w:rFonts w:cstheme="minorHAnsi"/>
          <w:lang w:val="en-GB"/>
        </w:rPr>
      </w:pPr>
      <w:r w:rsidRPr="003271FF">
        <w:rPr>
          <w:rFonts w:cstheme="minorHAnsi"/>
          <w:b/>
          <w:bCs/>
          <w:lang w:val="en-GB"/>
        </w:rPr>
        <w:t>1960s–1970s</w:t>
      </w:r>
      <w:r w:rsidRPr="003271FF">
        <w:rPr>
          <w:rFonts w:cstheme="minorHAnsi"/>
          <w:lang w:val="en-GB"/>
        </w:rPr>
        <w:t>: Progressive development through symposia organized by the UN and the International Commission of Jurists (ICJ).</w:t>
      </w:r>
    </w:p>
    <w:p w:rsidR="0073773E" w:rsidRPr="003271FF" w:rsidRDefault="0073773E" w:rsidP="0073773E">
      <w:pPr>
        <w:numPr>
          <w:ilvl w:val="1"/>
          <w:numId w:val="7"/>
        </w:numPr>
        <w:rPr>
          <w:rFonts w:cstheme="minorHAnsi"/>
          <w:lang w:val="en-GB"/>
        </w:rPr>
      </w:pPr>
      <w:r w:rsidRPr="003271FF">
        <w:rPr>
          <w:rFonts w:cstheme="minorHAnsi"/>
          <w:b/>
          <w:bCs/>
          <w:lang w:val="en-GB"/>
        </w:rPr>
        <w:t>1979</w:t>
      </w:r>
      <w:r w:rsidRPr="003271FF">
        <w:rPr>
          <w:rFonts w:cstheme="minorHAnsi"/>
          <w:lang w:val="en-GB"/>
        </w:rPr>
        <w:t>: President Léopold Sédar Senghor (Senegal) introduced an agenda item to create a regional framework, commissioning a preliminary draft.</w:t>
      </w:r>
    </w:p>
    <w:p w:rsidR="0073773E" w:rsidRPr="003271FF" w:rsidRDefault="0073773E" w:rsidP="0073773E">
      <w:pPr>
        <w:numPr>
          <w:ilvl w:val="1"/>
          <w:numId w:val="7"/>
        </w:numPr>
        <w:rPr>
          <w:rFonts w:cstheme="minorHAnsi"/>
          <w:lang w:val="en-GB"/>
        </w:rPr>
      </w:pPr>
      <w:r w:rsidRPr="003271FF">
        <w:rPr>
          <w:rFonts w:cstheme="minorHAnsi"/>
          <w:b/>
          <w:bCs/>
          <w:lang w:val="en-GB"/>
        </w:rPr>
        <w:lastRenderedPageBreak/>
        <w:t>1980–1981 (Banjul, The Gambia)</w:t>
      </w:r>
      <w:r w:rsidRPr="003271FF">
        <w:rPr>
          <w:rFonts w:cstheme="minorHAnsi"/>
          <w:lang w:val="en-GB"/>
        </w:rPr>
        <w:t>: Submission and refinement of the draft before the OAU Conferences of Ministers of Justice.</w:t>
      </w:r>
    </w:p>
    <w:p w:rsidR="0073773E" w:rsidRPr="003271FF" w:rsidRDefault="0073773E" w:rsidP="0073773E">
      <w:pPr>
        <w:numPr>
          <w:ilvl w:val="0"/>
          <w:numId w:val="7"/>
        </w:numPr>
        <w:rPr>
          <w:rFonts w:cstheme="minorHAnsi"/>
        </w:rPr>
      </w:pPr>
      <w:r w:rsidRPr="003271FF">
        <w:rPr>
          <w:rFonts w:cstheme="minorHAnsi"/>
          <w:b/>
          <w:bCs/>
        </w:rPr>
        <w:t xml:space="preserve">Adoption </w:t>
      </w:r>
      <w:r w:rsidRPr="003271FF">
        <w:rPr>
          <w:rFonts w:cstheme="minorHAnsi"/>
          <w:b/>
          <w:bCs/>
          <w:lang w:val="en-GB"/>
        </w:rPr>
        <w:t xml:space="preserve">and </w:t>
      </w:r>
      <w:r w:rsidR="006D00FB" w:rsidRPr="003271FF">
        <w:rPr>
          <w:rFonts w:cstheme="minorHAnsi"/>
          <w:b/>
          <w:bCs/>
          <w:lang w:val="en-GB"/>
        </w:rPr>
        <w:t>Implementation</w:t>
      </w:r>
      <w:r w:rsidR="006D00FB" w:rsidRPr="003271FF">
        <w:rPr>
          <w:rFonts w:cstheme="minorHAnsi"/>
          <w:lang w:val="en-GB"/>
        </w:rPr>
        <w:t> :</w:t>
      </w:r>
    </w:p>
    <w:p w:rsidR="0073773E" w:rsidRPr="003271FF" w:rsidRDefault="0073773E" w:rsidP="0073773E">
      <w:pPr>
        <w:numPr>
          <w:ilvl w:val="1"/>
          <w:numId w:val="7"/>
        </w:numPr>
        <w:rPr>
          <w:rFonts w:cstheme="minorHAnsi"/>
          <w:lang w:val="en-GB"/>
        </w:rPr>
      </w:pPr>
      <w:r w:rsidRPr="003271FF">
        <w:rPr>
          <w:rFonts w:cstheme="minorHAnsi"/>
          <w:b/>
          <w:bCs/>
          <w:lang w:val="en-GB"/>
        </w:rPr>
        <w:t>June 27, 1981 (Nairobi, Kenya)</w:t>
      </w:r>
      <w:r w:rsidRPr="003271FF">
        <w:rPr>
          <w:rFonts w:cstheme="minorHAnsi"/>
          <w:lang w:val="en-GB"/>
        </w:rPr>
        <w:t xml:space="preserve">: Official adoption of the </w:t>
      </w:r>
      <w:r w:rsidRPr="003271FF">
        <w:rPr>
          <w:rFonts w:cstheme="minorHAnsi"/>
          <w:i/>
          <w:iCs/>
          <w:lang w:val="en-GB"/>
        </w:rPr>
        <w:t>African Charter on Human and Peoples’ Rights</w:t>
      </w:r>
      <w:r w:rsidRPr="003271FF">
        <w:rPr>
          <w:rFonts w:cstheme="minorHAnsi"/>
          <w:lang w:val="en-GB"/>
        </w:rPr>
        <w:t>.</w:t>
      </w:r>
    </w:p>
    <w:p w:rsidR="0073773E" w:rsidRPr="003271FF" w:rsidRDefault="0073773E" w:rsidP="0073773E">
      <w:pPr>
        <w:numPr>
          <w:ilvl w:val="1"/>
          <w:numId w:val="7"/>
        </w:numPr>
        <w:rPr>
          <w:rFonts w:cstheme="minorHAnsi"/>
          <w:lang w:val="en-GB"/>
        </w:rPr>
      </w:pPr>
      <w:r w:rsidRPr="003271FF">
        <w:rPr>
          <w:rFonts w:cstheme="minorHAnsi"/>
          <w:b/>
          <w:bCs/>
          <w:lang w:val="en-GB"/>
        </w:rPr>
        <w:t>October 21, 1986</w:t>
      </w:r>
      <w:r w:rsidRPr="003271FF">
        <w:rPr>
          <w:rFonts w:cstheme="minorHAnsi"/>
          <w:lang w:val="en-GB"/>
        </w:rPr>
        <w:t xml:space="preserve">: Formal entry into force of the Charter, making October 21 the annual celebration of </w:t>
      </w:r>
      <w:r w:rsidRPr="003271FF">
        <w:rPr>
          <w:rFonts w:cstheme="minorHAnsi"/>
          <w:i/>
          <w:iCs/>
          <w:lang w:val="en-GB"/>
        </w:rPr>
        <w:t>African Human Rights Day</w:t>
      </w:r>
      <w:r w:rsidRPr="003271FF">
        <w:rPr>
          <w:rFonts w:cstheme="minorHAnsi"/>
          <w:lang w:val="en-GB"/>
        </w:rPr>
        <w:t>.</w:t>
      </w:r>
    </w:p>
    <w:p w:rsidR="0073773E" w:rsidRPr="003271FF" w:rsidRDefault="0073773E" w:rsidP="0073773E">
      <w:pPr>
        <w:numPr>
          <w:ilvl w:val="1"/>
          <w:numId w:val="7"/>
        </w:numPr>
        <w:rPr>
          <w:rFonts w:cstheme="minorHAnsi"/>
          <w:lang w:val="en-GB"/>
        </w:rPr>
      </w:pPr>
      <w:r w:rsidRPr="003271FF">
        <w:rPr>
          <w:rFonts w:cstheme="minorHAnsi"/>
          <w:b/>
          <w:bCs/>
          <w:lang w:val="en-GB"/>
        </w:rPr>
        <w:t>Evolution</w:t>
      </w:r>
      <w:r w:rsidRPr="003271FF">
        <w:rPr>
          <w:rFonts w:cstheme="minorHAnsi"/>
          <w:lang w:val="en-GB"/>
        </w:rPr>
        <w:t>: Served as the foundational bedrock for subsequent specialized instruments and human rights institutions.</w:t>
      </w:r>
    </w:p>
    <w:p w:rsidR="0073773E" w:rsidRPr="003271FF" w:rsidRDefault="0073773E" w:rsidP="0073773E">
      <w:pPr>
        <w:rPr>
          <w:rFonts w:cstheme="minorHAnsi"/>
          <w:b/>
          <w:bCs/>
          <w:color w:val="00B050"/>
          <w:lang w:val="en-GB"/>
        </w:rPr>
      </w:pPr>
      <w:r w:rsidRPr="003271FF">
        <w:rPr>
          <w:rFonts w:cstheme="minorHAnsi"/>
          <w:b/>
          <w:bCs/>
          <w:color w:val="00B050"/>
          <w:lang w:val="en-GB"/>
        </w:rPr>
        <w:t>II. FOUNDATIONAL LEGAL INSTRUMENTS</w:t>
      </w:r>
    </w:p>
    <w:p w:rsidR="00EE69A0" w:rsidRPr="003271FF" w:rsidRDefault="00EE69A0" w:rsidP="00EE69A0">
      <w:pPr>
        <w:rPr>
          <w:rFonts w:cstheme="minorHAnsi"/>
          <w:lang w:val="en-GB"/>
        </w:rPr>
      </w:pPr>
      <w:r w:rsidRPr="003271FF">
        <w:rPr>
          <w:rFonts w:cstheme="minorHAnsi"/>
          <w:lang w:val="en-GB"/>
        </w:rPr>
        <w:t>The system is built on a series of treaties, protocols, and charters that define human rights and state obligations.</w:t>
      </w:r>
    </w:p>
    <w:p w:rsidR="0073773E" w:rsidRPr="003271FF" w:rsidRDefault="0073773E" w:rsidP="0073773E">
      <w:pPr>
        <w:rPr>
          <w:rFonts w:cstheme="minorHAnsi"/>
          <w:b/>
          <w:bCs/>
          <w:color w:val="0070C0"/>
          <w:lang w:val="en-GB"/>
        </w:rPr>
      </w:pPr>
      <w:r w:rsidRPr="003271FF">
        <w:rPr>
          <w:rFonts w:cstheme="minorHAnsi"/>
          <w:b/>
          <w:bCs/>
          <w:color w:val="0070C0"/>
          <w:lang w:val="en-GB"/>
        </w:rPr>
        <w:t>1. The Banjul Charter</w:t>
      </w:r>
    </w:p>
    <w:p w:rsidR="0073773E" w:rsidRPr="003271FF" w:rsidRDefault="0073773E" w:rsidP="0073773E">
      <w:pPr>
        <w:rPr>
          <w:rFonts w:cstheme="minorHAnsi"/>
        </w:rPr>
      </w:pPr>
      <w:r w:rsidRPr="003271FF">
        <w:rPr>
          <w:rFonts w:cstheme="minorHAnsi"/>
          <w:lang w:val="en-GB"/>
        </w:rPr>
        <w:t xml:space="preserve">The cornerstone of the system is the </w:t>
      </w:r>
      <w:r w:rsidRPr="003271FF">
        <w:rPr>
          <w:rFonts w:cstheme="minorHAnsi"/>
          <w:i/>
          <w:iCs/>
          <w:lang w:val="en-GB"/>
        </w:rPr>
        <w:t>African Charter on Human and Peoples' Rights</w:t>
      </w:r>
      <w:r w:rsidRPr="003271FF">
        <w:rPr>
          <w:rFonts w:cstheme="minorHAnsi"/>
          <w:lang w:val="en-GB"/>
        </w:rPr>
        <w:t xml:space="preserve"> (Banjul Charter). It exhibits several unique legal characteristics:</w:t>
      </w:r>
    </w:p>
    <w:p w:rsidR="0073773E" w:rsidRPr="003271FF" w:rsidRDefault="0073773E" w:rsidP="005F3CDF">
      <w:pPr>
        <w:numPr>
          <w:ilvl w:val="0"/>
          <w:numId w:val="8"/>
        </w:numPr>
        <w:rPr>
          <w:rFonts w:cstheme="minorHAnsi"/>
          <w:lang w:val="en-GB"/>
        </w:rPr>
      </w:pPr>
      <w:r w:rsidRPr="003271FF">
        <w:rPr>
          <w:rFonts w:cstheme="minorHAnsi"/>
          <w:b/>
          <w:bCs/>
          <w:lang w:val="en-GB"/>
        </w:rPr>
        <w:t>Indivisibility of Rights</w:t>
      </w:r>
      <w:r w:rsidRPr="003271FF">
        <w:rPr>
          <w:rFonts w:cstheme="minorHAnsi"/>
          <w:lang w:val="en-GB"/>
        </w:rPr>
        <w:t>: Placing civil and political rights (e.g., freedom of expression, fair trial) on an equal footing with economic, social, and cultural rights (e.g</w:t>
      </w:r>
      <w:r w:rsidR="005F3CDF" w:rsidRPr="003271FF">
        <w:rPr>
          <w:rFonts w:cstheme="minorHAnsi"/>
          <w:lang w:val="en-GB"/>
        </w:rPr>
        <w:t>., health, education, work, religious and linguistic freedom and c</w:t>
      </w:r>
      <w:r w:rsidRPr="003271FF">
        <w:rPr>
          <w:rFonts w:cstheme="minorHAnsi"/>
          <w:lang w:val="en-GB"/>
        </w:rPr>
        <w:t>ultural expression).</w:t>
      </w:r>
    </w:p>
    <w:p w:rsidR="0073773E" w:rsidRPr="003271FF" w:rsidRDefault="0073773E" w:rsidP="0073773E">
      <w:pPr>
        <w:numPr>
          <w:ilvl w:val="0"/>
          <w:numId w:val="8"/>
        </w:numPr>
        <w:rPr>
          <w:rFonts w:cstheme="minorHAnsi"/>
          <w:lang w:val="en-GB"/>
        </w:rPr>
      </w:pPr>
      <w:r w:rsidRPr="003271FF">
        <w:rPr>
          <w:rFonts w:cstheme="minorHAnsi"/>
          <w:b/>
          <w:bCs/>
          <w:lang w:val="en-GB"/>
        </w:rPr>
        <w:t>Peoples' Rights (Collective Rights)</w:t>
      </w:r>
      <w:r w:rsidRPr="003271FF">
        <w:rPr>
          <w:rFonts w:cstheme="minorHAnsi"/>
          <w:lang w:val="en-GB"/>
        </w:rPr>
        <w:t xml:space="preserve">: Codifying collective rights, including the right to self-determination, socio-economic development, peace, and a </w:t>
      </w:r>
      <w:r w:rsidR="00710F58" w:rsidRPr="003271FF">
        <w:rPr>
          <w:rFonts w:cstheme="minorHAnsi"/>
          <w:lang w:val="en-GB"/>
        </w:rPr>
        <w:t>favourable</w:t>
      </w:r>
      <w:r w:rsidRPr="003271FF">
        <w:rPr>
          <w:rFonts w:cstheme="minorHAnsi"/>
          <w:lang w:val="en-GB"/>
        </w:rPr>
        <w:t xml:space="preserve"> environment.</w:t>
      </w:r>
    </w:p>
    <w:p w:rsidR="0073773E" w:rsidRPr="003271FF" w:rsidRDefault="0073773E" w:rsidP="0073773E">
      <w:pPr>
        <w:numPr>
          <w:ilvl w:val="0"/>
          <w:numId w:val="8"/>
        </w:numPr>
        <w:rPr>
          <w:rFonts w:cstheme="minorHAnsi"/>
          <w:lang w:val="en-GB"/>
        </w:rPr>
      </w:pPr>
      <w:r w:rsidRPr="003271FF">
        <w:rPr>
          <w:rFonts w:cstheme="minorHAnsi"/>
          <w:b/>
          <w:bCs/>
          <w:lang w:val="en-GB"/>
        </w:rPr>
        <w:t>Individual Duties</w:t>
      </w:r>
      <w:r w:rsidRPr="003271FF">
        <w:rPr>
          <w:rFonts w:cstheme="minorHAnsi"/>
          <w:lang w:val="en-GB"/>
        </w:rPr>
        <w:t>: Explicitly outlining an individual's ethical and legal duties toward their family, society, and the State.</w:t>
      </w:r>
    </w:p>
    <w:p w:rsidR="0073773E" w:rsidRPr="003271FF" w:rsidRDefault="0073773E" w:rsidP="0073773E">
      <w:pPr>
        <w:numPr>
          <w:ilvl w:val="0"/>
          <w:numId w:val="8"/>
        </w:numPr>
        <w:rPr>
          <w:rFonts w:cstheme="minorHAnsi"/>
          <w:lang w:val="en-GB"/>
        </w:rPr>
      </w:pPr>
      <w:r w:rsidRPr="003271FF">
        <w:rPr>
          <w:rFonts w:cstheme="minorHAnsi"/>
          <w:b/>
          <w:bCs/>
          <w:lang w:val="en-GB"/>
        </w:rPr>
        <w:t>Clawback Clauses and Internal Limitations</w:t>
      </w:r>
      <w:r w:rsidRPr="003271FF">
        <w:rPr>
          <w:rFonts w:cstheme="minorHAnsi"/>
          <w:lang w:val="en-GB"/>
        </w:rPr>
        <w:t>: Permitting states to restrict guaranteed rights through broad internal limitations (e.g., Articles 8, 9, 10, and 11). These are balanced against pervasive individual duties to the State (Articles 27 and 29) and broad national security exemptions that allow governments to restrict protections in the public interest.</w:t>
      </w:r>
    </w:p>
    <w:p w:rsidR="0073773E" w:rsidRPr="003271FF" w:rsidRDefault="0073773E" w:rsidP="00275DEE">
      <w:pPr>
        <w:numPr>
          <w:ilvl w:val="0"/>
          <w:numId w:val="8"/>
        </w:numPr>
        <w:rPr>
          <w:rFonts w:cstheme="minorHAnsi"/>
          <w:lang w:val="en-GB"/>
        </w:rPr>
      </w:pPr>
      <w:r w:rsidRPr="003271FF">
        <w:rPr>
          <w:rFonts w:cstheme="minorHAnsi"/>
          <w:b/>
          <w:bCs/>
          <w:lang w:val="en-GB"/>
        </w:rPr>
        <w:t>Absence of a Derogation Clause</w:t>
      </w:r>
      <w:r w:rsidRPr="003271FF">
        <w:rPr>
          <w:rFonts w:cstheme="minorHAnsi"/>
          <w:lang w:val="en-GB"/>
        </w:rPr>
        <w:t xml:space="preserve">: Most international treaties (like the ICCPR) allow states to suspend </w:t>
      </w:r>
      <w:r w:rsidR="00275DEE" w:rsidRPr="003271FF">
        <w:rPr>
          <w:rFonts w:cstheme="minorHAnsi"/>
          <w:lang w:val="en-GB"/>
        </w:rPr>
        <w:t xml:space="preserve">explicitly </w:t>
      </w:r>
      <w:r w:rsidRPr="003271FF">
        <w:rPr>
          <w:rFonts w:cstheme="minorHAnsi"/>
          <w:lang w:val="en-GB"/>
        </w:rPr>
        <w:t>certain rights during emergencies while keeping core rights non-derogable</w:t>
      </w:r>
      <w:r w:rsidR="00275DEE" w:rsidRPr="003271FF">
        <w:rPr>
          <w:rFonts w:cstheme="minorHAnsi"/>
          <w:lang w:val="en-GB"/>
        </w:rPr>
        <w:t xml:space="preserve"> (absolute)</w:t>
      </w:r>
      <w:r w:rsidRPr="003271FF">
        <w:rPr>
          <w:rFonts w:cstheme="minorHAnsi"/>
          <w:lang w:val="en-GB"/>
        </w:rPr>
        <w:t>. The African Charter contains no derogation clause. While the African Commission has ruled that states cannot suspend Charter rights during emergencies, the lack of an explicit text enables governments to justify rights limitations during crises.</w:t>
      </w:r>
    </w:p>
    <w:p w:rsidR="0073773E" w:rsidRPr="003271FF" w:rsidRDefault="0073773E" w:rsidP="0073773E">
      <w:pPr>
        <w:numPr>
          <w:ilvl w:val="0"/>
          <w:numId w:val="8"/>
        </w:numPr>
        <w:rPr>
          <w:rFonts w:cstheme="minorHAnsi"/>
          <w:lang w:val="en-GB"/>
        </w:rPr>
      </w:pPr>
      <w:r w:rsidRPr="003271FF">
        <w:rPr>
          <w:rFonts w:cstheme="minorHAnsi"/>
          <w:b/>
          <w:bCs/>
          <w:lang w:val="en-GB"/>
        </w:rPr>
        <w:t>Normative Reconciliation</w:t>
      </w:r>
      <w:r w:rsidRPr="003271FF">
        <w:rPr>
          <w:rFonts w:cstheme="minorHAnsi"/>
          <w:lang w:val="en-GB"/>
        </w:rPr>
        <w:t>: Bridging universal human rights principles with distinct African values, traditions, and cultural contexts.</w:t>
      </w:r>
    </w:p>
    <w:p w:rsidR="0073773E" w:rsidRPr="003271FF" w:rsidRDefault="0073773E" w:rsidP="004348E4">
      <w:pPr>
        <w:numPr>
          <w:ilvl w:val="0"/>
          <w:numId w:val="8"/>
        </w:numPr>
        <w:rPr>
          <w:rFonts w:cstheme="minorHAnsi"/>
          <w:lang w:val="en-GB"/>
        </w:rPr>
      </w:pPr>
      <w:r w:rsidRPr="003271FF">
        <w:rPr>
          <w:rFonts w:cstheme="minorHAnsi"/>
          <w:b/>
          <w:bCs/>
          <w:lang w:val="en-GB"/>
        </w:rPr>
        <w:t>Universal Continental Ratification</w:t>
      </w:r>
      <w:r w:rsidRPr="003271FF">
        <w:rPr>
          <w:rFonts w:cstheme="minorHAnsi"/>
          <w:lang w:val="en-GB"/>
        </w:rPr>
        <w:t xml:space="preserve">: </w:t>
      </w:r>
      <w:r w:rsidR="004348E4" w:rsidRPr="003271FF">
        <w:rPr>
          <w:rFonts w:cstheme="minorHAnsi"/>
          <w:lang w:val="en-GB"/>
        </w:rPr>
        <w:t xml:space="preserve">ratification </w:t>
      </w:r>
      <w:r w:rsidR="00710F58" w:rsidRPr="003271FF">
        <w:rPr>
          <w:rFonts w:cstheme="minorHAnsi"/>
          <w:lang w:val="en-GB"/>
        </w:rPr>
        <w:t>all</w:t>
      </w:r>
      <w:r w:rsidRPr="003271FF">
        <w:rPr>
          <w:rFonts w:cstheme="minorHAnsi"/>
          <w:lang w:val="en-GB"/>
        </w:rPr>
        <w:t xml:space="preserve"> </w:t>
      </w:r>
      <w:r w:rsidR="00710F58" w:rsidRPr="003271FF">
        <w:rPr>
          <w:rFonts w:cstheme="minorHAnsi"/>
          <w:lang w:val="en-GB"/>
        </w:rPr>
        <w:t>African States, except</w:t>
      </w:r>
      <w:r w:rsidR="004768BC" w:rsidRPr="003271FF">
        <w:rPr>
          <w:rFonts w:cstheme="minorHAnsi"/>
          <w:lang w:val="en-GB"/>
        </w:rPr>
        <w:t xml:space="preserve"> one: </w:t>
      </w:r>
      <w:r w:rsidR="00710F58" w:rsidRPr="003271FF">
        <w:rPr>
          <w:rFonts w:cstheme="minorHAnsi"/>
          <w:lang w:val="en-GB"/>
        </w:rPr>
        <w:t xml:space="preserve"> </w:t>
      </w:r>
      <w:r w:rsidRPr="003271FF">
        <w:rPr>
          <w:rFonts w:cstheme="minorHAnsi"/>
          <w:lang w:val="en-GB"/>
        </w:rPr>
        <w:t>Morocco</w:t>
      </w:r>
      <w:r w:rsidR="00710F58" w:rsidRPr="003271FF">
        <w:rPr>
          <w:rFonts w:cstheme="minorHAnsi"/>
          <w:lang w:val="en-GB"/>
        </w:rPr>
        <w:t xml:space="preserve">. </w:t>
      </w:r>
    </w:p>
    <w:p w:rsidR="0073773E" w:rsidRPr="003271FF" w:rsidRDefault="0073773E" w:rsidP="0073773E">
      <w:pPr>
        <w:rPr>
          <w:rFonts w:cstheme="minorHAnsi"/>
          <w:b/>
          <w:bCs/>
          <w:color w:val="0070C0"/>
          <w:lang w:val="en-GB"/>
        </w:rPr>
      </w:pPr>
      <w:r w:rsidRPr="003271FF">
        <w:rPr>
          <w:rFonts w:cstheme="minorHAnsi"/>
          <w:b/>
          <w:bCs/>
          <w:color w:val="0070C0"/>
          <w:lang w:val="en-GB"/>
        </w:rPr>
        <w:t>2. Supplementary Protocols</w:t>
      </w:r>
    </w:p>
    <w:p w:rsidR="0073773E" w:rsidRPr="003271FF" w:rsidRDefault="0073773E" w:rsidP="0073773E">
      <w:pPr>
        <w:rPr>
          <w:rFonts w:cstheme="minorHAnsi"/>
          <w:lang w:val="en-GB"/>
        </w:rPr>
      </w:pPr>
      <w:r w:rsidRPr="003271FF">
        <w:rPr>
          <w:rFonts w:cstheme="minorHAnsi"/>
          <w:lang w:val="en-GB"/>
        </w:rPr>
        <w:t>To address normative gaps in the original Charter, the AU adopted specialized, legally binding protocols:</w:t>
      </w:r>
    </w:p>
    <w:p w:rsidR="0073773E" w:rsidRPr="003271FF" w:rsidRDefault="0073773E" w:rsidP="0073773E">
      <w:pPr>
        <w:numPr>
          <w:ilvl w:val="0"/>
          <w:numId w:val="9"/>
        </w:numPr>
        <w:rPr>
          <w:rFonts w:cstheme="minorHAnsi"/>
          <w:lang w:val="en-GB"/>
        </w:rPr>
      </w:pPr>
      <w:r w:rsidRPr="003271FF">
        <w:rPr>
          <w:rFonts w:cstheme="minorHAnsi"/>
          <w:b/>
          <w:bCs/>
          <w:lang w:val="en-GB"/>
        </w:rPr>
        <w:lastRenderedPageBreak/>
        <w:t>The African Court Protocol (1998)</w:t>
      </w:r>
      <w:r w:rsidRPr="003271FF">
        <w:rPr>
          <w:rFonts w:cstheme="minorHAnsi"/>
          <w:lang w:val="en-GB"/>
        </w:rPr>
        <w:t>: Establishing a judicial body (The African Court on Human and Peoples' Rights) to complement the protective mandate of the African Commission.</w:t>
      </w:r>
    </w:p>
    <w:p w:rsidR="004A3CC1" w:rsidRPr="003271FF" w:rsidRDefault="00581AEB" w:rsidP="004A3CC1">
      <w:pPr>
        <w:pStyle w:val="Paragraphedeliste"/>
        <w:spacing w:before="100" w:beforeAutospacing="1" w:after="100" w:afterAutospacing="1" w:line="240" w:lineRule="auto"/>
        <w:rPr>
          <w:rFonts w:cstheme="minorHAnsi"/>
          <w:b/>
          <w:bCs/>
          <w:lang w:val="en-GB"/>
        </w:rPr>
      </w:pPr>
      <w:r w:rsidRPr="003271FF">
        <w:rPr>
          <w:rFonts w:eastAsia="Times New Roman" w:cstheme="minorHAnsi"/>
          <w:lang w:val="en-GB" w:eastAsia="fr-FR"/>
        </w:rPr>
        <w:t>Adoption Date</w:t>
      </w:r>
      <w:r w:rsidRPr="003271FF">
        <w:rPr>
          <w:rFonts w:eastAsia="Times New Roman" w:cstheme="minorHAnsi"/>
          <w:b/>
          <w:bCs/>
          <w:lang w:val="en-GB" w:eastAsia="fr-FR"/>
        </w:rPr>
        <w:t>:</w:t>
      </w:r>
      <w:r w:rsidRPr="003271FF">
        <w:rPr>
          <w:rFonts w:eastAsia="Times New Roman" w:cstheme="minorHAnsi"/>
          <w:lang w:val="en-GB" w:eastAsia="fr-FR"/>
        </w:rPr>
        <w:t xml:space="preserve"> June 10, </w:t>
      </w:r>
      <w:r w:rsidR="004A3CC1" w:rsidRPr="003271FF">
        <w:rPr>
          <w:rFonts w:eastAsia="Times New Roman" w:cstheme="minorHAnsi"/>
          <w:lang w:val="en-GB" w:eastAsia="fr-FR"/>
        </w:rPr>
        <w:t>1998;</w:t>
      </w:r>
      <w:r w:rsidR="00352F57" w:rsidRPr="003271FF">
        <w:rPr>
          <w:rFonts w:eastAsia="Times New Roman" w:cstheme="minorHAnsi"/>
          <w:lang w:val="en-GB" w:eastAsia="fr-FR"/>
        </w:rPr>
        <w:t xml:space="preserve"> </w:t>
      </w:r>
      <w:r w:rsidRPr="003271FF">
        <w:rPr>
          <w:rFonts w:eastAsia="Times New Roman" w:cstheme="minorHAnsi"/>
          <w:lang w:val="en-GB" w:eastAsia="fr-FR"/>
        </w:rPr>
        <w:t>Entry into Force</w:t>
      </w:r>
      <w:r w:rsidRPr="003271FF">
        <w:rPr>
          <w:rFonts w:eastAsia="Times New Roman" w:cstheme="minorHAnsi"/>
          <w:b/>
          <w:bCs/>
          <w:lang w:val="en-GB" w:eastAsia="fr-FR"/>
        </w:rPr>
        <w:t>:</w:t>
      </w:r>
      <w:r w:rsidRPr="003271FF">
        <w:rPr>
          <w:rFonts w:eastAsia="Times New Roman" w:cstheme="minorHAnsi"/>
          <w:lang w:val="en-GB" w:eastAsia="fr-FR"/>
        </w:rPr>
        <w:t xml:space="preserve"> January 25, 2004 (after being ratified by 15 member states)</w:t>
      </w:r>
      <w:r w:rsidR="004A3CC1" w:rsidRPr="003271FF">
        <w:rPr>
          <w:rFonts w:eastAsia="Times New Roman" w:cstheme="minorHAnsi"/>
          <w:lang w:val="en-GB" w:eastAsia="fr-FR"/>
        </w:rPr>
        <w:t xml:space="preserve">; </w:t>
      </w:r>
      <w:r w:rsidR="004A3CC1" w:rsidRPr="003271FF">
        <w:rPr>
          <w:rFonts w:cstheme="minorHAnsi"/>
          <w:lang w:val="en-GB" w:eastAsia="fr-FR"/>
        </w:rPr>
        <w:t>34</w:t>
      </w:r>
      <w:r w:rsidR="00352F57" w:rsidRPr="003271FF">
        <w:rPr>
          <w:rFonts w:cstheme="minorHAnsi"/>
          <w:lang w:val="en-GB" w:eastAsia="fr-FR"/>
        </w:rPr>
        <w:t xml:space="preserve"> ratifications</w:t>
      </w:r>
      <w:r w:rsidR="004A3CC1" w:rsidRPr="003271FF">
        <w:rPr>
          <w:rFonts w:cstheme="minorHAnsi"/>
          <w:lang w:val="en-GB" w:eastAsia="fr-FR"/>
        </w:rPr>
        <w:t>.</w:t>
      </w:r>
      <w:r w:rsidR="00352F57" w:rsidRPr="003271FF">
        <w:rPr>
          <w:rFonts w:cstheme="minorHAnsi"/>
          <w:lang w:val="en-GB" w:eastAsia="fr-FR"/>
        </w:rPr>
        <w:t xml:space="preserve"> </w:t>
      </w:r>
    </w:p>
    <w:p w:rsidR="004A3CC1" w:rsidRPr="003271FF" w:rsidRDefault="004A3CC1" w:rsidP="004A3CC1">
      <w:pPr>
        <w:pStyle w:val="Paragraphedeliste"/>
        <w:spacing w:before="100" w:beforeAutospacing="1" w:after="100" w:afterAutospacing="1" w:line="240" w:lineRule="auto"/>
        <w:rPr>
          <w:rFonts w:cstheme="minorHAnsi"/>
          <w:b/>
          <w:bCs/>
          <w:lang w:val="en-GB"/>
        </w:rPr>
      </w:pPr>
    </w:p>
    <w:p w:rsidR="00BE1DFB" w:rsidRPr="003271FF" w:rsidRDefault="004A3CC1" w:rsidP="004A3CC1">
      <w:pPr>
        <w:pStyle w:val="Paragraphedeliste"/>
        <w:numPr>
          <w:ilvl w:val="0"/>
          <w:numId w:val="9"/>
        </w:numPr>
        <w:spacing w:before="100" w:beforeAutospacing="1" w:after="100" w:afterAutospacing="1" w:line="240" w:lineRule="auto"/>
        <w:rPr>
          <w:rFonts w:cstheme="minorHAnsi"/>
          <w:b/>
          <w:bCs/>
          <w:lang w:val="en-GB"/>
        </w:rPr>
      </w:pPr>
      <w:r w:rsidRPr="003271FF">
        <w:rPr>
          <w:rFonts w:cstheme="minorHAnsi"/>
          <w:b/>
          <w:bCs/>
          <w:lang w:val="en-GB"/>
        </w:rPr>
        <w:t>T</w:t>
      </w:r>
      <w:r w:rsidR="008737EF" w:rsidRPr="003271FF">
        <w:rPr>
          <w:rFonts w:cstheme="minorHAnsi"/>
          <w:b/>
          <w:bCs/>
          <w:lang w:val="en-GB"/>
        </w:rPr>
        <w:t>he Maputo Protocol (2003): A progressive global treaty on women's rights</w:t>
      </w:r>
    </w:p>
    <w:p w:rsidR="00BE1DFB" w:rsidRPr="003271FF" w:rsidRDefault="00BE1DFB" w:rsidP="00BE1DFB">
      <w:pPr>
        <w:pStyle w:val="Paragraphedeliste"/>
        <w:spacing w:before="100" w:beforeAutospacing="1" w:after="100" w:afterAutospacing="1" w:line="240" w:lineRule="auto"/>
        <w:rPr>
          <w:rFonts w:cstheme="minorHAnsi"/>
          <w:lang w:val="en-GB"/>
        </w:rPr>
      </w:pPr>
    </w:p>
    <w:p w:rsidR="00D15A59" w:rsidRPr="003271FF" w:rsidRDefault="00BE1DFB" w:rsidP="00BE1DFB">
      <w:pPr>
        <w:pStyle w:val="Paragraphedeliste"/>
        <w:spacing w:before="100" w:beforeAutospacing="1" w:after="100" w:afterAutospacing="1"/>
        <w:rPr>
          <w:rFonts w:cstheme="minorHAnsi"/>
          <w:lang w:val="en-GB"/>
        </w:rPr>
      </w:pPr>
      <w:r w:rsidRPr="003271FF">
        <w:rPr>
          <w:rFonts w:cstheme="minorHAnsi"/>
          <w:lang w:val="en-GB"/>
        </w:rPr>
        <w:t>A</w:t>
      </w:r>
      <w:r w:rsidR="00D0041A" w:rsidRPr="003271FF">
        <w:rPr>
          <w:rFonts w:cstheme="minorHAnsi"/>
          <w:lang w:val="en-GB"/>
        </w:rPr>
        <w:t>dopted on July 11, 2003</w:t>
      </w:r>
      <w:r w:rsidR="00D31E13" w:rsidRPr="003271FF">
        <w:rPr>
          <w:rFonts w:cstheme="minorHAnsi"/>
          <w:lang w:val="en-GB"/>
        </w:rPr>
        <w:t>; entered into force on November 25, 2005</w:t>
      </w:r>
      <w:r w:rsidR="00D31E13" w:rsidRPr="003271FF">
        <w:rPr>
          <w:rFonts w:cstheme="minorHAnsi"/>
          <w:b/>
          <w:bCs/>
          <w:lang w:val="en-GB"/>
        </w:rPr>
        <w:t>;</w:t>
      </w:r>
      <w:r w:rsidR="00D31E13" w:rsidRPr="003271FF">
        <w:rPr>
          <w:rFonts w:cstheme="minorHAnsi"/>
          <w:lang w:val="en-GB"/>
        </w:rPr>
        <w:t xml:space="preserve"> 44 states parties</w:t>
      </w:r>
    </w:p>
    <w:p w:rsidR="00D15A59" w:rsidRPr="003271FF" w:rsidRDefault="00D31E13" w:rsidP="00BE1DFB">
      <w:pPr>
        <w:pStyle w:val="Paragraphedeliste"/>
        <w:spacing w:before="100" w:beforeAutospacing="1" w:after="100" w:afterAutospacing="1"/>
        <w:rPr>
          <w:rFonts w:cstheme="minorHAnsi"/>
          <w:lang w:val="en-GB"/>
        </w:rPr>
      </w:pPr>
      <w:r w:rsidRPr="003271FF">
        <w:rPr>
          <w:rFonts w:cstheme="minorHAnsi"/>
          <w:lang w:val="en-GB"/>
        </w:rPr>
        <w:t>It is c</w:t>
      </w:r>
      <w:bookmarkStart w:id="0" w:name="_GoBack"/>
      <w:bookmarkEnd w:id="0"/>
      <w:r w:rsidRPr="003271FF">
        <w:rPr>
          <w:rFonts w:cstheme="minorHAnsi"/>
          <w:lang w:val="en-GB"/>
        </w:rPr>
        <w:t>onsidered among the most progressive women’s rights treaties worldwide</w:t>
      </w:r>
    </w:p>
    <w:p w:rsidR="008737EF" w:rsidRPr="003271FF" w:rsidRDefault="00BE1DFB" w:rsidP="00BE1DFB">
      <w:pPr>
        <w:pStyle w:val="Paragraphedeliste"/>
        <w:spacing w:before="100" w:beforeAutospacing="1" w:after="100" w:afterAutospacing="1" w:line="240" w:lineRule="auto"/>
        <w:rPr>
          <w:rFonts w:cstheme="minorHAnsi"/>
          <w:lang w:val="en-GB"/>
        </w:rPr>
      </w:pPr>
      <w:r w:rsidRPr="003271FF">
        <w:rPr>
          <w:rFonts w:cstheme="minorHAnsi"/>
          <w:lang w:val="en-GB"/>
        </w:rPr>
        <w:t>C</w:t>
      </w:r>
      <w:r w:rsidR="008737EF" w:rsidRPr="003271FF">
        <w:rPr>
          <w:rFonts w:cstheme="minorHAnsi"/>
          <w:lang w:val="en-GB"/>
        </w:rPr>
        <w:t>overing reproductive health, economic empowerment, and the eradication of harmful traditional practices like Female Genital Mutilation (FGM).</w:t>
      </w:r>
    </w:p>
    <w:p w:rsidR="0073773E" w:rsidRPr="003271FF" w:rsidRDefault="0073773E" w:rsidP="0073773E">
      <w:pPr>
        <w:numPr>
          <w:ilvl w:val="0"/>
          <w:numId w:val="9"/>
        </w:numPr>
        <w:rPr>
          <w:rFonts w:cstheme="minorHAnsi"/>
          <w:lang w:val="en-GB"/>
        </w:rPr>
      </w:pPr>
      <w:r w:rsidRPr="003271FF">
        <w:rPr>
          <w:rFonts w:cstheme="minorHAnsi"/>
          <w:b/>
          <w:bCs/>
          <w:lang w:val="en-GB"/>
        </w:rPr>
        <w:t>Protocol on the Rights of Persons with Disabilities in Africa (2018)</w:t>
      </w:r>
      <w:r w:rsidRPr="003271FF">
        <w:rPr>
          <w:rFonts w:cstheme="minorHAnsi"/>
          <w:lang w:val="en-GB"/>
        </w:rPr>
        <w:t>.</w:t>
      </w:r>
    </w:p>
    <w:p w:rsidR="00351BB9" w:rsidRPr="003271FF" w:rsidRDefault="00351BB9" w:rsidP="00351BB9">
      <w:pPr>
        <w:ind w:left="720"/>
        <w:rPr>
          <w:rFonts w:cstheme="minorHAnsi"/>
          <w:lang w:val="en-GB"/>
        </w:rPr>
      </w:pPr>
      <w:r w:rsidRPr="003271FF">
        <w:rPr>
          <w:rFonts w:cstheme="minorHAnsi"/>
          <w:lang w:val="en-GB"/>
        </w:rPr>
        <w:t>Adopted on January 2018, entered into force on May 3, 2004</w:t>
      </w:r>
      <w:r w:rsidR="00561FE9" w:rsidRPr="003271FF">
        <w:rPr>
          <w:rFonts w:cstheme="minorHAnsi"/>
          <w:lang w:val="en-GB"/>
        </w:rPr>
        <w:t>, 15 ratifications</w:t>
      </w:r>
    </w:p>
    <w:p w:rsidR="00351BB9" w:rsidRPr="003271FF" w:rsidRDefault="00351BB9" w:rsidP="00351BB9">
      <w:pPr>
        <w:ind w:left="720"/>
        <w:rPr>
          <w:rFonts w:cstheme="minorHAnsi"/>
          <w:lang w:val="en-GB"/>
        </w:rPr>
      </w:pPr>
      <w:r w:rsidRPr="003271FF">
        <w:rPr>
          <w:rFonts w:cstheme="minorHAnsi"/>
          <w:lang w:val="en-GB"/>
        </w:rPr>
        <w:t>It is the first legally binding pan-African treaty specifically designed to protect the rights of people with disabilities on the continent.  It adapts global standards to unique African socio-economic and cultural realities.</w:t>
      </w:r>
    </w:p>
    <w:p w:rsidR="0073773E" w:rsidRPr="003271FF" w:rsidRDefault="0073773E" w:rsidP="0073773E">
      <w:pPr>
        <w:numPr>
          <w:ilvl w:val="0"/>
          <w:numId w:val="9"/>
        </w:numPr>
        <w:rPr>
          <w:rFonts w:cstheme="minorHAnsi"/>
          <w:lang w:val="en-GB"/>
        </w:rPr>
      </w:pPr>
      <w:r w:rsidRPr="003271FF">
        <w:rPr>
          <w:rFonts w:cstheme="minorHAnsi"/>
          <w:b/>
          <w:bCs/>
          <w:lang w:val="en-GB"/>
        </w:rPr>
        <w:t>Protocol on the Rights of Older Persons in Africa (2016)</w:t>
      </w:r>
      <w:r w:rsidRPr="003271FF">
        <w:rPr>
          <w:rFonts w:cstheme="minorHAnsi"/>
          <w:lang w:val="en-GB"/>
        </w:rPr>
        <w:t>.</w:t>
      </w:r>
    </w:p>
    <w:p w:rsidR="00351BB9" w:rsidRPr="003271FF" w:rsidRDefault="00351BB9" w:rsidP="00351BB9">
      <w:pPr>
        <w:ind w:left="720"/>
        <w:rPr>
          <w:rFonts w:cstheme="minorHAnsi"/>
          <w:lang w:val="en-GB"/>
        </w:rPr>
      </w:pPr>
      <w:r w:rsidRPr="003271FF">
        <w:rPr>
          <w:rFonts w:cstheme="minorHAnsi"/>
          <w:lang w:val="en-GB"/>
        </w:rPr>
        <w:t>Date of Adoption: January 31, 2016, Date of Entry into Force: November 3, 2024</w:t>
      </w:r>
      <w:r w:rsidR="00561FE9" w:rsidRPr="003271FF">
        <w:rPr>
          <w:rFonts w:cstheme="minorHAnsi"/>
          <w:lang w:val="en-GB"/>
        </w:rPr>
        <w:t xml:space="preserve">, 15 ratifications </w:t>
      </w:r>
    </w:p>
    <w:p w:rsidR="00351BB9" w:rsidRPr="003271FF" w:rsidRDefault="00351BB9" w:rsidP="00351BB9">
      <w:pPr>
        <w:ind w:left="720"/>
        <w:rPr>
          <w:rFonts w:cstheme="minorHAnsi"/>
          <w:lang w:val="en-GB"/>
        </w:rPr>
      </w:pPr>
      <w:r w:rsidRPr="003271FF">
        <w:rPr>
          <w:rFonts w:cstheme="minorHAnsi"/>
          <w:lang w:val="en-GB"/>
        </w:rPr>
        <w:t>The Protocol establishes a legal definition for "Older Persons" as individuals aged 60 years and above. It mandates African governments to eliminate ageism and structural abuses through the key provisions such as Non-Discrimination and Equal Protection, Eradication of Abuse and Harmful Practices or Social Protection and Employment</w:t>
      </w:r>
    </w:p>
    <w:p w:rsidR="0073773E" w:rsidRPr="003271FF" w:rsidRDefault="0073773E" w:rsidP="0073773E">
      <w:pPr>
        <w:rPr>
          <w:rFonts w:cstheme="minorHAnsi"/>
          <w:b/>
          <w:bCs/>
          <w:color w:val="0070C0"/>
          <w:lang w:val="en-GB"/>
        </w:rPr>
      </w:pPr>
      <w:r w:rsidRPr="003271FF">
        <w:rPr>
          <w:rFonts w:cstheme="minorHAnsi"/>
          <w:b/>
          <w:bCs/>
          <w:color w:val="0070C0"/>
          <w:lang w:val="en-GB"/>
        </w:rPr>
        <w:t>3. Specialized African Human Rights Instruments</w:t>
      </w:r>
    </w:p>
    <w:p w:rsidR="0073773E" w:rsidRPr="003271FF" w:rsidRDefault="0073773E" w:rsidP="0073773E">
      <w:pPr>
        <w:numPr>
          <w:ilvl w:val="0"/>
          <w:numId w:val="10"/>
        </w:numPr>
        <w:rPr>
          <w:rFonts w:cstheme="minorHAnsi"/>
          <w:lang w:val="en-GB"/>
        </w:rPr>
      </w:pPr>
      <w:r w:rsidRPr="003271FF">
        <w:rPr>
          <w:rFonts w:cstheme="minorHAnsi"/>
          <w:b/>
          <w:bCs/>
          <w:lang w:val="en-GB"/>
        </w:rPr>
        <w:t>African Charter on the Rights and Welfare of the Child (1990)</w:t>
      </w:r>
      <w:r w:rsidRPr="003271FF">
        <w:rPr>
          <w:rFonts w:cstheme="minorHAnsi"/>
          <w:lang w:val="en-GB"/>
        </w:rPr>
        <w:t>:</w:t>
      </w:r>
    </w:p>
    <w:p w:rsidR="00CF4263" w:rsidRPr="003271FF" w:rsidRDefault="00CF4263" w:rsidP="00904A7F">
      <w:pPr>
        <w:numPr>
          <w:ilvl w:val="1"/>
          <w:numId w:val="10"/>
        </w:numPr>
        <w:rPr>
          <w:rFonts w:cstheme="minorHAnsi"/>
          <w:lang w:val="en-GB"/>
        </w:rPr>
      </w:pPr>
      <w:r w:rsidRPr="003271FF">
        <w:rPr>
          <w:rFonts w:cstheme="minorHAnsi"/>
          <w:lang w:val="en-GB"/>
        </w:rPr>
        <w:t xml:space="preserve">Date of Adoption: July 11, 1990 (in Addis Ababa, during OAU); Date of Entry into Force: November 29, 1999; Ratifications: 51 states, a </w:t>
      </w:r>
      <w:r w:rsidR="00904A7F" w:rsidRPr="003271FF">
        <w:rPr>
          <w:rFonts w:cstheme="minorHAnsi"/>
          <w:lang w:val="en-GB"/>
        </w:rPr>
        <w:t>few reservations</w:t>
      </w:r>
      <w:r w:rsidR="00904A7F">
        <w:rPr>
          <w:rFonts w:cstheme="minorHAnsi"/>
          <w:lang w:val="en-GB"/>
        </w:rPr>
        <w:t>.</w:t>
      </w:r>
    </w:p>
    <w:p w:rsidR="0073773E" w:rsidRPr="003271FF" w:rsidRDefault="0073773E" w:rsidP="0073773E">
      <w:pPr>
        <w:numPr>
          <w:ilvl w:val="1"/>
          <w:numId w:val="10"/>
        </w:numPr>
        <w:rPr>
          <w:rFonts w:cstheme="minorHAnsi"/>
          <w:lang w:val="en-GB"/>
        </w:rPr>
      </w:pPr>
      <w:r w:rsidRPr="003271FF">
        <w:rPr>
          <w:rFonts w:cstheme="minorHAnsi"/>
          <w:lang w:val="en-GB"/>
        </w:rPr>
        <w:t>Comprehensive framework protecting children within the specific realities of the African context.</w:t>
      </w:r>
    </w:p>
    <w:p w:rsidR="002C7C0E" w:rsidRPr="003271FF" w:rsidRDefault="002C7C0E" w:rsidP="002C7C0E">
      <w:pPr>
        <w:numPr>
          <w:ilvl w:val="1"/>
          <w:numId w:val="10"/>
        </w:numPr>
        <w:rPr>
          <w:rFonts w:cstheme="minorHAnsi"/>
          <w:lang w:val="en-GB"/>
        </w:rPr>
      </w:pPr>
      <w:r w:rsidRPr="003271FF">
        <w:rPr>
          <w:rFonts w:cstheme="minorHAnsi"/>
          <w:lang w:val="en-GB"/>
        </w:rPr>
        <w:t>While it shares the core mission of protecting children with the UN Convention on the Rights of the Child (UNCRC) of 20 November 1989; the (ACRWC) establishes higher standards on several critical regional issues</w:t>
      </w:r>
    </w:p>
    <w:p w:rsidR="0073773E" w:rsidRPr="003271FF" w:rsidRDefault="0073773E" w:rsidP="0073773E">
      <w:pPr>
        <w:numPr>
          <w:ilvl w:val="1"/>
          <w:numId w:val="10"/>
        </w:numPr>
        <w:rPr>
          <w:rFonts w:cstheme="minorHAnsi"/>
          <w:lang w:val="en-GB"/>
        </w:rPr>
      </w:pPr>
      <w:r w:rsidRPr="003271FF">
        <w:rPr>
          <w:rFonts w:cstheme="minorHAnsi"/>
          <w:lang w:val="en-GB"/>
        </w:rPr>
        <w:t>Express protections against the recruitment of child soldiers, harmful cultural practices, and child marriage.</w:t>
      </w:r>
    </w:p>
    <w:p w:rsidR="0073773E" w:rsidRPr="003271FF" w:rsidRDefault="0073773E" w:rsidP="0073773E">
      <w:pPr>
        <w:numPr>
          <w:ilvl w:val="1"/>
          <w:numId w:val="10"/>
        </w:numPr>
        <w:rPr>
          <w:rFonts w:cstheme="minorHAnsi"/>
          <w:lang w:val="en-GB"/>
        </w:rPr>
      </w:pPr>
      <w:r w:rsidRPr="003271FF">
        <w:rPr>
          <w:rFonts w:cstheme="minorHAnsi"/>
          <w:lang w:val="en-GB"/>
        </w:rPr>
        <w:t xml:space="preserve">Mandating that all actions concerning minors be applied in the </w:t>
      </w:r>
      <w:r w:rsidRPr="003271FF">
        <w:rPr>
          <w:rFonts w:cstheme="minorHAnsi"/>
          <w:b/>
          <w:bCs/>
          <w:lang w:val="en-GB"/>
        </w:rPr>
        <w:t>best interest of the child</w:t>
      </w:r>
      <w:r w:rsidRPr="003271FF">
        <w:rPr>
          <w:rFonts w:cstheme="minorHAnsi"/>
          <w:lang w:val="en-GB"/>
        </w:rPr>
        <w:t>.</w:t>
      </w:r>
    </w:p>
    <w:p w:rsidR="002C7C0E" w:rsidRDefault="002C7C0E" w:rsidP="002C7C0E">
      <w:pPr>
        <w:numPr>
          <w:ilvl w:val="1"/>
          <w:numId w:val="10"/>
        </w:numPr>
        <w:rPr>
          <w:rFonts w:cstheme="minorHAnsi"/>
          <w:lang w:val="en-GB"/>
        </w:rPr>
      </w:pPr>
      <w:r w:rsidRPr="003271FF">
        <w:rPr>
          <w:rFonts w:cstheme="minorHAnsi"/>
          <w:lang w:val="en-GB"/>
        </w:rPr>
        <w:t>The African Committee of Experts on the Rights and Welfare of the Child supervises implementation.</w:t>
      </w:r>
    </w:p>
    <w:p w:rsidR="004C3326" w:rsidRPr="003271FF" w:rsidRDefault="004C3326" w:rsidP="004C3326">
      <w:pPr>
        <w:ind w:left="1440"/>
        <w:rPr>
          <w:rFonts w:cstheme="minorHAnsi"/>
          <w:lang w:val="en-GB"/>
        </w:rPr>
      </w:pPr>
    </w:p>
    <w:p w:rsidR="0073773E" w:rsidRPr="003271FF" w:rsidRDefault="0073773E" w:rsidP="0073773E">
      <w:pPr>
        <w:numPr>
          <w:ilvl w:val="0"/>
          <w:numId w:val="10"/>
        </w:numPr>
        <w:rPr>
          <w:rFonts w:cstheme="minorHAnsi"/>
          <w:lang w:val="en-GB"/>
        </w:rPr>
      </w:pPr>
      <w:r w:rsidRPr="003271FF">
        <w:rPr>
          <w:rFonts w:cstheme="minorHAnsi"/>
          <w:b/>
          <w:bCs/>
          <w:lang w:val="en-GB"/>
        </w:rPr>
        <w:lastRenderedPageBreak/>
        <w:t>African Charter on Democracy, Elections and Governance (ACDEG) (2007)</w:t>
      </w:r>
      <w:r w:rsidRPr="003271FF">
        <w:rPr>
          <w:rFonts w:cstheme="minorHAnsi"/>
          <w:lang w:val="en-GB"/>
        </w:rPr>
        <w:t>:</w:t>
      </w:r>
    </w:p>
    <w:p w:rsidR="0073773E" w:rsidRPr="003271FF" w:rsidRDefault="0073773E" w:rsidP="0073773E">
      <w:pPr>
        <w:numPr>
          <w:ilvl w:val="1"/>
          <w:numId w:val="10"/>
        </w:numPr>
        <w:rPr>
          <w:rFonts w:cstheme="minorHAnsi"/>
          <w:lang w:val="en-GB"/>
        </w:rPr>
      </w:pPr>
      <w:r w:rsidRPr="003271FF">
        <w:rPr>
          <w:rFonts w:cstheme="minorHAnsi"/>
          <w:b/>
          <w:bCs/>
          <w:lang w:val="en-GB"/>
        </w:rPr>
        <w:t>Timeline</w:t>
      </w:r>
      <w:r w:rsidRPr="003271FF">
        <w:rPr>
          <w:rFonts w:cstheme="minorHAnsi"/>
          <w:lang w:val="en-GB"/>
        </w:rPr>
        <w:t>: Adopted on January 30, 2007, in Addis Ababa, Ethiopia; entered into force on February 15, 2012.</w:t>
      </w:r>
    </w:p>
    <w:p w:rsidR="0073773E" w:rsidRPr="003271FF" w:rsidRDefault="0073773E" w:rsidP="0073773E">
      <w:pPr>
        <w:numPr>
          <w:ilvl w:val="1"/>
          <w:numId w:val="10"/>
        </w:numPr>
        <w:rPr>
          <w:rFonts w:cstheme="minorHAnsi"/>
          <w:lang w:val="en-GB"/>
        </w:rPr>
      </w:pPr>
      <w:r w:rsidRPr="003271FF">
        <w:rPr>
          <w:rFonts w:cstheme="minorHAnsi"/>
          <w:b/>
          <w:bCs/>
          <w:lang w:val="en-GB"/>
        </w:rPr>
        <w:t>Course Relevance</w:t>
      </w:r>
      <w:r w:rsidRPr="003271FF">
        <w:rPr>
          <w:rFonts w:cstheme="minorHAnsi"/>
          <w:lang w:val="en-GB"/>
        </w:rPr>
        <w:t xml:space="preserve">: A vital instrument directly linked to the training theme: </w:t>
      </w:r>
      <w:r w:rsidRPr="003271FF">
        <w:rPr>
          <w:rFonts w:cstheme="minorHAnsi"/>
          <w:i/>
          <w:iCs/>
          <w:lang w:val="en-GB"/>
        </w:rPr>
        <w:t>“Electoral Processes and International Human Rights Law.”</w:t>
      </w:r>
    </w:p>
    <w:p w:rsidR="0073773E" w:rsidRPr="003271FF" w:rsidRDefault="0073773E" w:rsidP="0073773E">
      <w:pPr>
        <w:numPr>
          <w:ilvl w:val="1"/>
          <w:numId w:val="10"/>
        </w:numPr>
        <w:rPr>
          <w:rFonts w:cstheme="minorHAnsi"/>
          <w:lang w:val="en-GB"/>
        </w:rPr>
      </w:pPr>
      <w:r w:rsidRPr="003271FF">
        <w:rPr>
          <w:rFonts w:cstheme="minorHAnsi"/>
          <w:b/>
          <w:bCs/>
          <w:lang w:val="en-GB"/>
        </w:rPr>
        <w:t>Core Principle</w:t>
      </w:r>
      <w:r w:rsidRPr="003271FF">
        <w:rPr>
          <w:rFonts w:cstheme="minorHAnsi"/>
          <w:lang w:val="en-GB"/>
        </w:rPr>
        <w:t>: Asserting that electoral rights are fundamental human rights, reinforcing Article 13 of the Banjul Charter.</w:t>
      </w:r>
    </w:p>
    <w:p w:rsidR="0073773E" w:rsidRPr="003271FF" w:rsidRDefault="00F2277E" w:rsidP="0073773E">
      <w:pPr>
        <w:numPr>
          <w:ilvl w:val="1"/>
          <w:numId w:val="10"/>
        </w:numPr>
        <w:rPr>
          <w:rFonts w:cstheme="minorHAnsi"/>
          <w:lang w:val="en-GB"/>
        </w:rPr>
      </w:pPr>
      <w:r w:rsidRPr="003271FF">
        <w:rPr>
          <w:rFonts w:cstheme="minorHAnsi"/>
          <w:b/>
          <w:bCs/>
          <w:lang w:val="en-GB"/>
        </w:rPr>
        <w:t>Scope</w:t>
      </w:r>
      <w:r w:rsidR="004B713E" w:rsidRPr="003271FF">
        <w:rPr>
          <w:rFonts w:cstheme="minorHAnsi"/>
          <w:b/>
          <w:bCs/>
          <w:lang w:val="en-GB"/>
        </w:rPr>
        <w:t>:</w:t>
      </w:r>
      <w:r w:rsidR="0073773E" w:rsidRPr="003271FF">
        <w:rPr>
          <w:rFonts w:cstheme="minorHAnsi"/>
          <w:lang w:val="en-GB"/>
        </w:rPr>
        <w:t xml:space="preserve"> Covering the entire electoral cycle, including voter registration, political participation, voting procedures, and electoral dispute resolution.</w:t>
      </w:r>
    </w:p>
    <w:p w:rsidR="0073773E" w:rsidRPr="003271FF" w:rsidRDefault="0073773E" w:rsidP="0073773E">
      <w:pPr>
        <w:numPr>
          <w:ilvl w:val="1"/>
          <w:numId w:val="10"/>
        </w:numPr>
        <w:rPr>
          <w:rFonts w:cstheme="minorHAnsi"/>
          <w:lang w:val="en-GB"/>
        </w:rPr>
      </w:pPr>
      <w:r w:rsidRPr="003271FF">
        <w:rPr>
          <w:rFonts w:cstheme="minorHAnsi"/>
          <w:b/>
          <w:bCs/>
          <w:lang w:val="en-GB"/>
        </w:rPr>
        <w:t>Objectives</w:t>
      </w:r>
      <w:r w:rsidRPr="003271FF">
        <w:rPr>
          <w:rFonts w:cstheme="minorHAnsi"/>
          <w:lang w:val="en-GB"/>
        </w:rPr>
        <w:t>: Fostering democratic principles, ensuring credible elections, preventing unconstitutional changes of government, strengthening electoral institutions, and encouraging constitutional rule.</w:t>
      </w:r>
    </w:p>
    <w:p w:rsidR="0073773E" w:rsidRPr="003271FF" w:rsidRDefault="0073773E" w:rsidP="0073773E">
      <w:pPr>
        <w:numPr>
          <w:ilvl w:val="1"/>
          <w:numId w:val="10"/>
        </w:numPr>
        <w:rPr>
          <w:rFonts w:cstheme="minorHAnsi"/>
          <w:lang w:val="en-GB"/>
        </w:rPr>
      </w:pPr>
      <w:r w:rsidRPr="003271FF">
        <w:rPr>
          <w:rFonts w:cstheme="minorHAnsi"/>
          <w:b/>
          <w:bCs/>
          <w:lang w:val="en-GB"/>
        </w:rPr>
        <w:t>State Obligations</w:t>
      </w:r>
      <w:r w:rsidRPr="003271FF">
        <w:rPr>
          <w:rFonts w:cstheme="minorHAnsi"/>
          <w:lang w:val="en-GB"/>
        </w:rPr>
        <w:t>: Requiring states to establish independent electoral commissions, guarantee political pluralism, ensure transparency, and respect constitutional term limits to advance human rights.</w:t>
      </w:r>
    </w:p>
    <w:p w:rsidR="0073773E" w:rsidRPr="003271FF" w:rsidRDefault="0073773E" w:rsidP="0073773E">
      <w:pPr>
        <w:numPr>
          <w:ilvl w:val="1"/>
          <w:numId w:val="10"/>
        </w:numPr>
        <w:rPr>
          <w:rFonts w:cstheme="minorHAnsi"/>
          <w:lang w:val="en-GB"/>
        </w:rPr>
      </w:pPr>
      <w:r w:rsidRPr="003271FF">
        <w:rPr>
          <w:rFonts w:cstheme="minorHAnsi"/>
          <w:b/>
          <w:bCs/>
          <w:lang w:val="en-GB"/>
        </w:rPr>
        <w:t>Article 21 Focus</w:t>
      </w:r>
      <w:r w:rsidRPr="003271FF">
        <w:rPr>
          <w:rFonts w:cstheme="minorHAnsi"/>
          <w:lang w:val="en-GB"/>
        </w:rPr>
        <w:t xml:space="preserve">: Governing </w:t>
      </w:r>
      <w:r w:rsidRPr="003271FF">
        <w:rPr>
          <w:rFonts w:cstheme="minorHAnsi"/>
          <w:b/>
          <w:bCs/>
          <w:lang w:val="en-GB"/>
        </w:rPr>
        <w:t>Electoral Observer Missions</w:t>
      </w:r>
      <w:r w:rsidRPr="003271FF">
        <w:rPr>
          <w:rFonts w:cstheme="minorHAnsi"/>
          <w:lang w:val="en-GB"/>
        </w:rPr>
        <w:t xml:space="preserve"> conducted by experts designated by the AU Commission, defining their role and methodologies to verify election integrity.</w:t>
      </w:r>
    </w:p>
    <w:p w:rsidR="0073773E" w:rsidRPr="003271FF" w:rsidRDefault="0073773E" w:rsidP="0073773E">
      <w:pPr>
        <w:numPr>
          <w:ilvl w:val="0"/>
          <w:numId w:val="11"/>
        </w:numPr>
        <w:rPr>
          <w:rFonts w:cstheme="minorHAnsi"/>
          <w:lang w:val="en-GB"/>
        </w:rPr>
      </w:pPr>
      <w:r w:rsidRPr="003271FF">
        <w:rPr>
          <w:rFonts w:cstheme="minorHAnsi"/>
          <w:b/>
          <w:bCs/>
          <w:lang w:val="en-GB"/>
        </w:rPr>
        <w:t>OAU Convention Governing the Specific Aspects of Refugee Problems in Africa (1969)</w:t>
      </w:r>
    </w:p>
    <w:p w:rsidR="0073773E" w:rsidRPr="003271FF" w:rsidRDefault="0073773E" w:rsidP="0073773E">
      <w:pPr>
        <w:numPr>
          <w:ilvl w:val="1"/>
          <w:numId w:val="11"/>
        </w:numPr>
        <w:rPr>
          <w:rFonts w:cstheme="minorHAnsi"/>
          <w:lang w:val="en-GB"/>
        </w:rPr>
      </w:pPr>
      <w:r w:rsidRPr="003271FF">
        <w:rPr>
          <w:rFonts w:cstheme="minorHAnsi"/>
          <w:b/>
          <w:bCs/>
          <w:lang w:val="en-GB"/>
        </w:rPr>
        <w:t>Status &amp; Significance:</w:t>
      </w:r>
      <w:r w:rsidRPr="003271FF">
        <w:rPr>
          <w:rFonts w:cstheme="minorHAnsi"/>
          <w:lang w:val="en-GB"/>
        </w:rPr>
        <w:t xml:space="preserve"> A vital, specialized regional human rights instrument. It serves as a foundational regional complement to the 1951 UN Refugee Convention.</w:t>
      </w:r>
    </w:p>
    <w:p w:rsidR="0073773E" w:rsidRPr="003271FF" w:rsidRDefault="0073773E" w:rsidP="0073773E">
      <w:pPr>
        <w:numPr>
          <w:ilvl w:val="1"/>
          <w:numId w:val="11"/>
        </w:numPr>
        <w:rPr>
          <w:rFonts w:cstheme="minorHAnsi"/>
        </w:rPr>
      </w:pPr>
      <w:r w:rsidRPr="003271FF">
        <w:rPr>
          <w:rFonts w:cstheme="minorHAnsi"/>
          <w:b/>
          <w:bCs/>
          <w:lang w:val="en-GB"/>
        </w:rPr>
        <w:t>Timeline:</w:t>
      </w:r>
      <w:r w:rsidRPr="003271FF">
        <w:rPr>
          <w:rFonts w:cstheme="minorHAnsi"/>
          <w:lang w:val="en-GB"/>
        </w:rPr>
        <w:t xml:space="preserve"> Adopted on September 10, 1969, in Addis Ababa, Ethiopia; entered into force on June 20, 1974. </w:t>
      </w:r>
      <w:r w:rsidRPr="003271FF">
        <w:rPr>
          <w:rFonts w:cstheme="minorHAnsi"/>
        </w:rPr>
        <w:t xml:space="preserve">It has 46 ratifications, including </w:t>
      </w:r>
      <w:r w:rsidRPr="003271FF">
        <w:rPr>
          <w:rFonts w:cstheme="minorHAnsi"/>
          <w:b/>
          <w:bCs/>
        </w:rPr>
        <w:t>Morocco</w:t>
      </w:r>
      <w:r w:rsidRPr="003271FF">
        <w:rPr>
          <w:rFonts w:cstheme="minorHAnsi"/>
        </w:rPr>
        <w:t xml:space="preserve"> (ratified on July 16, 1974).</w:t>
      </w:r>
    </w:p>
    <w:p w:rsidR="0073773E" w:rsidRPr="003271FF" w:rsidRDefault="0073773E" w:rsidP="0073773E">
      <w:pPr>
        <w:numPr>
          <w:ilvl w:val="1"/>
          <w:numId w:val="11"/>
        </w:numPr>
        <w:rPr>
          <w:rFonts w:cstheme="minorHAnsi"/>
          <w:lang w:val="en-GB"/>
        </w:rPr>
      </w:pPr>
      <w:r w:rsidRPr="003271FF">
        <w:rPr>
          <w:rFonts w:cstheme="minorHAnsi"/>
          <w:b/>
          <w:bCs/>
          <w:lang w:val="en-GB"/>
        </w:rPr>
        <w:t>Expanded Refugee Definition:</w:t>
      </w:r>
      <w:r w:rsidRPr="003271FF">
        <w:rPr>
          <w:rFonts w:cstheme="minorHAnsi"/>
          <w:lang w:val="en-GB"/>
        </w:rPr>
        <w:t xml:space="preserve"> It broadens the traditional 1951 international definition to include individuals fleeing "external aggression, occupation, foreign domination, or events seriously disturbing public order" across either the entirety or a part of their country of origin.</w:t>
      </w:r>
    </w:p>
    <w:p w:rsidR="0073773E" w:rsidRPr="003271FF" w:rsidRDefault="0073773E" w:rsidP="0073773E">
      <w:pPr>
        <w:numPr>
          <w:ilvl w:val="1"/>
          <w:numId w:val="11"/>
        </w:numPr>
        <w:rPr>
          <w:rFonts w:cstheme="minorHAnsi"/>
          <w:lang w:val="en-GB"/>
        </w:rPr>
      </w:pPr>
      <w:r w:rsidRPr="003271FF">
        <w:rPr>
          <w:rFonts w:cstheme="minorHAnsi"/>
          <w:b/>
          <w:bCs/>
          <w:lang w:val="en-GB"/>
        </w:rPr>
        <w:t>Prohibition of Subversive Activities:</w:t>
      </w:r>
      <w:r w:rsidRPr="003271FF">
        <w:rPr>
          <w:rFonts w:cstheme="minorHAnsi"/>
          <w:lang w:val="en-GB"/>
        </w:rPr>
        <w:t xml:space="preserve"> To balance state security, it mandates that refugees conform to host-country laws and explicitly forbids them from engaging in subversive activities (such as using arms or the press) against any African Union member state.</w:t>
      </w:r>
    </w:p>
    <w:p w:rsidR="0073773E" w:rsidRPr="003271FF" w:rsidRDefault="0073773E" w:rsidP="0073773E">
      <w:pPr>
        <w:numPr>
          <w:ilvl w:val="1"/>
          <w:numId w:val="11"/>
        </w:numPr>
        <w:rPr>
          <w:rFonts w:cstheme="minorHAnsi"/>
          <w:lang w:val="en-GB"/>
        </w:rPr>
      </w:pPr>
      <w:r w:rsidRPr="003271FF">
        <w:rPr>
          <w:rFonts w:cstheme="minorHAnsi"/>
          <w:b/>
          <w:bCs/>
          <w:lang w:val="en-GB"/>
        </w:rPr>
        <w:t>Voluntary Repatriation:</w:t>
      </w:r>
      <w:r w:rsidRPr="003271FF">
        <w:rPr>
          <w:rFonts w:cstheme="minorHAnsi"/>
          <w:lang w:val="en-GB"/>
        </w:rPr>
        <w:t xml:space="preserve"> It establishes clear guidelines emphasizing that repatriation must be strictly voluntary and ensures that returnees face no penalties or discrimination for having fled.</w:t>
      </w:r>
    </w:p>
    <w:p w:rsidR="0073773E" w:rsidRPr="003271FF" w:rsidRDefault="0073773E" w:rsidP="0073773E">
      <w:pPr>
        <w:numPr>
          <w:ilvl w:val="1"/>
          <w:numId w:val="11"/>
        </w:numPr>
        <w:rPr>
          <w:rFonts w:cstheme="minorHAnsi"/>
          <w:lang w:val="en-GB"/>
        </w:rPr>
      </w:pPr>
      <w:r w:rsidRPr="003271FF">
        <w:rPr>
          <w:rFonts w:cstheme="minorHAnsi"/>
          <w:b/>
          <w:bCs/>
          <w:lang w:val="en-GB"/>
        </w:rPr>
        <w:t>Asylum as a Peaceful Act:</w:t>
      </w:r>
      <w:r w:rsidRPr="003271FF">
        <w:rPr>
          <w:rFonts w:cstheme="minorHAnsi"/>
          <w:lang w:val="en-GB"/>
        </w:rPr>
        <w:t xml:space="preserve"> It mandates that granting asylum is a peaceful, humanitarian, and apolitical act. Host states are explicitly forbidden from viewing it as an unfriendly gesture toward a refugee's country of origin.</w:t>
      </w:r>
    </w:p>
    <w:p w:rsidR="0073773E" w:rsidRPr="003271FF" w:rsidRDefault="0073773E" w:rsidP="0073773E">
      <w:pPr>
        <w:numPr>
          <w:ilvl w:val="1"/>
          <w:numId w:val="11"/>
        </w:numPr>
        <w:rPr>
          <w:rFonts w:cstheme="minorHAnsi"/>
          <w:lang w:val="en-GB"/>
        </w:rPr>
      </w:pPr>
      <w:r w:rsidRPr="003271FF">
        <w:rPr>
          <w:rFonts w:cstheme="minorHAnsi"/>
          <w:b/>
          <w:bCs/>
          <w:lang w:val="en-GB"/>
        </w:rPr>
        <w:t>Travel Documents:</w:t>
      </w:r>
      <w:r w:rsidRPr="003271FF">
        <w:rPr>
          <w:rFonts w:cstheme="minorHAnsi"/>
          <w:lang w:val="en-GB"/>
        </w:rPr>
        <w:t xml:space="preserve"> Member states commit to issuing Convention Travel Documents to refugees to facilitate lawful travel outside their host territories </w:t>
      </w:r>
    </w:p>
    <w:p w:rsidR="0073773E" w:rsidRPr="003271FF" w:rsidRDefault="0073773E" w:rsidP="0073773E">
      <w:pPr>
        <w:numPr>
          <w:ilvl w:val="0"/>
          <w:numId w:val="11"/>
        </w:numPr>
        <w:rPr>
          <w:rFonts w:cstheme="minorHAnsi"/>
          <w:lang w:val="en-GB"/>
        </w:rPr>
      </w:pPr>
      <w:r w:rsidRPr="003271FF">
        <w:rPr>
          <w:rFonts w:cstheme="minorHAnsi"/>
          <w:b/>
          <w:bCs/>
          <w:lang w:val="en-GB"/>
        </w:rPr>
        <w:lastRenderedPageBreak/>
        <w:t>African Union Convention for the Protection and Assistance of Internally Displaced Persons in Africa (Kampala Convention) (2009)</w:t>
      </w:r>
    </w:p>
    <w:p w:rsidR="0073773E" w:rsidRPr="003271FF" w:rsidRDefault="0073773E" w:rsidP="0073773E">
      <w:pPr>
        <w:numPr>
          <w:ilvl w:val="1"/>
          <w:numId w:val="11"/>
        </w:numPr>
        <w:rPr>
          <w:rFonts w:cstheme="minorHAnsi"/>
          <w:lang w:val="en-GB"/>
        </w:rPr>
      </w:pPr>
      <w:r w:rsidRPr="003271FF">
        <w:rPr>
          <w:rFonts w:cstheme="minorHAnsi"/>
          <w:b/>
          <w:bCs/>
          <w:lang w:val="en-GB"/>
        </w:rPr>
        <w:t>Status &amp; Significance:</w:t>
      </w:r>
      <w:r w:rsidRPr="003271FF">
        <w:rPr>
          <w:rFonts w:cstheme="minorHAnsi"/>
          <w:lang w:val="en-GB"/>
        </w:rPr>
        <w:t xml:space="preserve"> The world’s first and only legally binding regional treaty dedicated exclusively to protecting and assisting individuals forced to flee within their own national borders.</w:t>
      </w:r>
    </w:p>
    <w:p w:rsidR="0073773E" w:rsidRPr="003271FF" w:rsidRDefault="0073773E" w:rsidP="0073773E">
      <w:pPr>
        <w:numPr>
          <w:ilvl w:val="1"/>
          <w:numId w:val="11"/>
        </w:numPr>
        <w:rPr>
          <w:rFonts w:cstheme="minorHAnsi"/>
          <w:lang w:val="en-GB"/>
        </w:rPr>
      </w:pPr>
      <w:r w:rsidRPr="003271FF">
        <w:rPr>
          <w:rFonts w:cstheme="minorHAnsi"/>
          <w:b/>
          <w:bCs/>
          <w:lang w:val="en-GB"/>
        </w:rPr>
        <w:t>Timeline:</w:t>
      </w:r>
      <w:r w:rsidRPr="003271FF">
        <w:rPr>
          <w:rFonts w:cstheme="minorHAnsi"/>
          <w:lang w:val="en-GB"/>
        </w:rPr>
        <w:t xml:space="preserve"> Adopted in Kampala, Uganda, on October 23, 2009; entered into force on December 6, 2012. It has been ratified by 33 member states, </w:t>
      </w:r>
      <w:r w:rsidRPr="003271FF">
        <w:rPr>
          <w:rFonts w:cstheme="minorHAnsi"/>
          <w:b/>
          <w:bCs/>
          <w:lang w:val="en-GB"/>
        </w:rPr>
        <w:t>excluding Morocco</w:t>
      </w:r>
      <w:r w:rsidRPr="003271FF">
        <w:rPr>
          <w:rFonts w:cstheme="minorHAnsi"/>
          <w:lang w:val="en-GB"/>
        </w:rPr>
        <w:t xml:space="preserve"> (Morocco has not signed or ratified this convention).</w:t>
      </w:r>
    </w:p>
    <w:p w:rsidR="0073773E" w:rsidRPr="003271FF" w:rsidRDefault="0073773E" w:rsidP="0073773E">
      <w:pPr>
        <w:numPr>
          <w:ilvl w:val="1"/>
          <w:numId w:val="11"/>
        </w:numPr>
        <w:rPr>
          <w:rFonts w:cstheme="minorHAnsi"/>
          <w:lang w:val="en-GB"/>
        </w:rPr>
      </w:pPr>
      <w:r w:rsidRPr="003271FF">
        <w:rPr>
          <w:rFonts w:cstheme="minorHAnsi"/>
          <w:b/>
          <w:bCs/>
          <w:lang w:val="en-GB"/>
        </w:rPr>
        <w:t>Normative Alignment:</w:t>
      </w:r>
      <w:r w:rsidRPr="003271FF">
        <w:rPr>
          <w:rFonts w:cstheme="minorHAnsi"/>
          <w:lang w:val="en-GB"/>
        </w:rPr>
        <w:t xml:space="preserve"> The convention formalizes the non-binding 1998 UN Guiding Principles on Internal Displacement into a legally binding regional framework.</w:t>
      </w:r>
    </w:p>
    <w:p w:rsidR="0073773E" w:rsidRPr="003271FF" w:rsidRDefault="0073773E" w:rsidP="0073773E">
      <w:pPr>
        <w:numPr>
          <w:ilvl w:val="1"/>
          <w:numId w:val="11"/>
        </w:numPr>
        <w:rPr>
          <w:rFonts w:cstheme="minorHAnsi"/>
        </w:rPr>
      </w:pPr>
      <w:r w:rsidRPr="003271FF">
        <w:rPr>
          <w:rFonts w:cstheme="minorHAnsi"/>
          <w:b/>
          <w:bCs/>
        </w:rPr>
        <w:t>Core Pillars:</w:t>
      </w:r>
    </w:p>
    <w:p w:rsidR="0073773E" w:rsidRPr="003271FF" w:rsidRDefault="0073773E" w:rsidP="0073773E">
      <w:pPr>
        <w:numPr>
          <w:ilvl w:val="2"/>
          <w:numId w:val="11"/>
        </w:numPr>
        <w:rPr>
          <w:rFonts w:cstheme="minorHAnsi"/>
          <w:lang w:val="en-GB"/>
        </w:rPr>
      </w:pPr>
      <w:r w:rsidRPr="003271FF">
        <w:rPr>
          <w:rFonts w:cstheme="minorHAnsi"/>
          <w:b/>
          <w:bCs/>
          <w:lang w:val="en-GB"/>
        </w:rPr>
        <w:t>State Responsibility:</w:t>
      </w:r>
      <w:r w:rsidRPr="003271FF">
        <w:rPr>
          <w:rFonts w:cstheme="minorHAnsi"/>
          <w:lang w:val="en-GB"/>
        </w:rPr>
        <w:t xml:space="preserve"> Explicitly codifies that the primary responsibility to protect, assist, and safeguard the rights of internally displaced persons (IDPs) lies directly with the domestic state.</w:t>
      </w:r>
    </w:p>
    <w:p w:rsidR="0073773E" w:rsidRPr="003271FF" w:rsidRDefault="0073773E" w:rsidP="0073773E">
      <w:pPr>
        <w:numPr>
          <w:ilvl w:val="2"/>
          <w:numId w:val="11"/>
        </w:numPr>
        <w:rPr>
          <w:rFonts w:cstheme="minorHAnsi"/>
          <w:lang w:val="en-GB"/>
        </w:rPr>
      </w:pPr>
      <w:r w:rsidRPr="003271FF">
        <w:rPr>
          <w:rFonts w:cstheme="minorHAnsi"/>
          <w:b/>
          <w:bCs/>
          <w:lang w:val="en-GB"/>
        </w:rPr>
        <w:t>Comprehensive Scope:</w:t>
      </w:r>
      <w:r w:rsidRPr="003271FF">
        <w:rPr>
          <w:rFonts w:cstheme="minorHAnsi"/>
          <w:lang w:val="en-GB"/>
        </w:rPr>
        <w:t xml:space="preserve"> Addresses all stages of displacement caused by armed conflicts, generalized violence, systemic human rights abuses, development projects, or natural and man-made disasters.</w:t>
      </w:r>
    </w:p>
    <w:p w:rsidR="0073773E" w:rsidRPr="003271FF" w:rsidRDefault="0073773E" w:rsidP="0073773E">
      <w:pPr>
        <w:numPr>
          <w:ilvl w:val="2"/>
          <w:numId w:val="11"/>
        </w:numPr>
        <w:rPr>
          <w:rFonts w:cstheme="minorHAnsi"/>
          <w:lang w:val="en-GB"/>
        </w:rPr>
      </w:pPr>
      <w:r w:rsidRPr="003271FF">
        <w:rPr>
          <w:rFonts w:cstheme="minorHAnsi"/>
          <w:b/>
          <w:bCs/>
          <w:lang w:val="en-GB"/>
        </w:rPr>
        <w:t>Key Prohibitions:</w:t>
      </w:r>
      <w:r w:rsidRPr="003271FF">
        <w:rPr>
          <w:rFonts w:cstheme="minorHAnsi"/>
          <w:lang w:val="en-GB"/>
        </w:rPr>
        <w:t xml:space="preserve"> Strictly outlaws arbitrary displacement and unlawful forced evictions.</w:t>
      </w:r>
    </w:p>
    <w:p w:rsidR="0073773E" w:rsidRPr="003271FF" w:rsidRDefault="0073773E" w:rsidP="0073773E">
      <w:pPr>
        <w:numPr>
          <w:ilvl w:val="2"/>
          <w:numId w:val="11"/>
        </w:numPr>
        <w:rPr>
          <w:rFonts w:cstheme="minorHAnsi"/>
        </w:rPr>
      </w:pPr>
      <w:r w:rsidRPr="003271FF">
        <w:rPr>
          <w:rFonts w:cstheme="minorHAnsi"/>
          <w:b/>
          <w:bCs/>
          <w:lang w:val="en-GB"/>
        </w:rPr>
        <w:t>Durable Solutions:</w:t>
      </w:r>
      <w:r w:rsidRPr="003271FF">
        <w:rPr>
          <w:rFonts w:cstheme="minorHAnsi"/>
          <w:lang w:val="en-GB"/>
        </w:rPr>
        <w:t xml:space="preserve"> Sets binding rules to facilitate safe, voluntary return, local integration, or relocation, along with frameworks for property restitution and compensation. </w:t>
      </w:r>
      <w:r w:rsidRPr="003271FF">
        <w:rPr>
          <w:rFonts w:cstheme="minorHAnsi"/>
        </w:rPr>
        <w:t xml:space="preserve">[1, 2, 8, 9] </w:t>
      </w:r>
    </w:p>
    <w:p w:rsidR="0073773E" w:rsidRPr="003271FF" w:rsidRDefault="0073773E" w:rsidP="0073773E">
      <w:pPr>
        <w:rPr>
          <w:rFonts w:cstheme="minorHAnsi"/>
          <w:b/>
          <w:bCs/>
          <w:color w:val="00B050"/>
          <w:lang w:val="en-GB"/>
        </w:rPr>
      </w:pPr>
      <w:r w:rsidRPr="003271FF">
        <w:rPr>
          <w:rFonts w:cstheme="minorHAnsi"/>
          <w:b/>
          <w:bCs/>
          <w:color w:val="00B050"/>
          <w:lang w:val="en-GB"/>
        </w:rPr>
        <w:t>III. CORE SUPERVISORY INSTITUTIONS</w:t>
      </w:r>
    </w:p>
    <w:p w:rsidR="0073773E" w:rsidRPr="003271FF" w:rsidRDefault="0073773E" w:rsidP="0073773E">
      <w:pPr>
        <w:rPr>
          <w:rFonts w:cstheme="minorHAnsi"/>
          <w:lang w:val="en-GB"/>
        </w:rPr>
      </w:pPr>
      <w:r w:rsidRPr="003271FF">
        <w:rPr>
          <w:rFonts w:cstheme="minorHAnsi"/>
          <w:lang w:val="en-GB"/>
        </w:rPr>
        <w:t>The enforcement, monitoring, and implementation of African human rights treaties rely primarily on two principal organs located in different regions of the continent, supplemented by specialized expert committees.</w:t>
      </w:r>
    </w:p>
    <w:p w:rsidR="0073773E" w:rsidRPr="003271FF" w:rsidRDefault="0073773E" w:rsidP="0073773E">
      <w:pPr>
        <w:rPr>
          <w:rFonts w:cstheme="minorHAnsi"/>
          <w:b/>
          <w:bCs/>
          <w:color w:val="0070C0"/>
          <w:lang w:val="en-GB"/>
        </w:rPr>
      </w:pPr>
      <w:r w:rsidRPr="003271FF">
        <w:rPr>
          <w:rFonts w:cstheme="minorHAnsi"/>
          <w:b/>
          <w:bCs/>
          <w:color w:val="0070C0"/>
          <w:lang w:val="en-GB"/>
        </w:rPr>
        <w:t>1. The African Commission on Human and Peoples' Rights (ACHPR)</w:t>
      </w:r>
    </w:p>
    <w:p w:rsidR="0073773E" w:rsidRPr="003271FF" w:rsidRDefault="004F29A9" w:rsidP="0073773E">
      <w:pPr>
        <w:numPr>
          <w:ilvl w:val="0"/>
          <w:numId w:val="17"/>
        </w:numPr>
        <w:rPr>
          <w:rFonts w:cstheme="minorHAnsi"/>
        </w:rPr>
      </w:pPr>
      <w:r w:rsidRPr="003271FF">
        <w:rPr>
          <w:rFonts w:cstheme="minorHAnsi"/>
          <w:b/>
          <w:bCs/>
        </w:rPr>
        <w:t>Location :</w:t>
      </w:r>
      <w:r w:rsidR="0073773E" w:rsidRPr="003271FF">
        <w:rPr>
          <w:rFonts w:cstheme="minorHAnsi"/>
        </w:rPr>
        <w:t xml:space="preserve"> Banjul, </w:t>
      </w:r>
      <w:r w:rsidR="0073773E" w:rsidRPr="004F29A9">
        <w:rPr>
          <w:rFonts w:cstheme="minorHAnsi"/>
          <w:lang w:val="en-GB"/>
        </w:rPr>
        <w:t>The Gambia.</w:t>
      </w:r>
    </w:p>
    <w:p w:rsidR="0073773E" w:rsidRPr="003271FF" w:rsidRDefault="0073773E" w:rsidP="0073773E">
      <w:pPr>
        <w:numPr>
          <w:ilvl w:val="0"/>
          <w:numId w:val="17"/>
        </w:numPr>
        <w:rPr>
          <w:rFonts w:cstheme="minorHAnsi"/>
          <w:lang w:val="en-GB"/>
        </w:rPr>
      </w:pPr>
      <w:r w:rsidRPr="003271FF">
        <w:rPr>
          <w:rFonts w:cstheme="minorHAnsi"/>
          <w:b/>
          <w:bCs/>
          <w:lang w:val="en-GB"/>
        </w:rPr>
        <w:t>Structure:</w:t>
      </w:r>
      <w:r w:rsidRPr="003271FF">
        <w:rPr>
          <w:rFonts w:cstheme="minorHAnsi"/>
          <w:lang w:val="en-GB"/>
        </w:rPr>
        <w:t xml:space="preserve"> Composed of 11 independent experts elected by the African Union (AU) Assembly, serving in their personal capacities.</w:t>
      </w:r>
    </w:p>
    <w:p w:rsidR="0073773E" w:rsidRPr="003271FF" w:rsidRDefault="0073773E" w:rsidP="0073773E">
      <w:pPr>
        <w:numPr>
          <w:ilvl w:val="0"/>
          <w:numId w:val="17"/>
        </w:numPr>
        <w:rPr>
          <w:rFonts w:cstheme="minorHAnsi"/>
        </w:rPr>
      </w:pPr>
      <w:r w:rsidRPr="003271FF">
        <w:rPr>
          <w:rFonts w:cstheme="minorHAnsi"/>
          <w:b/>
          <w:bCs/>
        </w:rPr>
        <w:t xml:space="preserve">The Dual </w:t>
      </w:r>
      <w:r w:rsidR="004F29A9" w:rsidRPr="003271FF">
        <w:rPr>
          <w:rFonts w:cstheme="minorHAnsi"/>
          <w:b/>
          <w:bCs/>
        </w:rPr>
        <w:t>Mandate :</w:t>
      </w:r>
    </w:p>
    <w:p w:rsidR="0073773E" w:rsidRPr="003271FF" w:rsidRDefault="0073773E" w:rsidP="0073773E">
      <w:pPr>
        <w:numPr>
          <w:ilvl w:val="1"/>
          <w:numId w:val="17"/>
        </w:numPr>
        <w:rPr>
          <w:rFonts w:cstheme="minorHAnsi"/>
          <w:lang w:val="en-GB"/>
        </w:rPr>
      </w:pPr>
      <w:r w:rsidRPr="003271FF">
        <w:rPr>
          <w:rFonts w:cstheme="minorHAnsi"/>
          <w:b/>
          <w:bCs/>
          <w:lang w:val="en-GB"/>
        </w:rPr>
        <w:t>The Promotional Mandate:</w:t>
      </w:r>
      <w:r w:rsidRPr="003271FF">
        <w:rPr>
          <w:rFonts w:cstheme="minorHAnsi"/>
          <w:lang w:val="en-GB"/>
        </w:rPr>
        <w:t xml:space="preserve"> Directs human rights education, raises public awareness, clarifies treaty provisions via the issuance of </w:t>
      </w:r>
      <w:r w:rsidRPr="003271FF">
        <w:rPr>
          <w:rFonts w:cstheme="minorHAnsi"/>
          <w:i/>
          <w:iCs/>
          <w:lang w:val="en-GB"/>
        </w:rPr>
        <w:t>General Comments</w:t>
      </w:r>
      <w:r w:rsidRPr="003271FF">
        <w:rPr>
          <w:rFonts w:cstheme="minorHAnsi"/>
          <w:lang w:val="en-GB"/>
        </w:rPr>
        <w:t>, and appoints Special Rapporteurs (e.g., on freedom of expression, women's rights, and prisons) to study specific thematic issues.</w:t>
      </w:r>
    </w:p>
    <w:p w:rsidR="0073773E" w:rsidRPr="003271FF" w:rsidRDefault="0073773E" w:rsidP="0073773E">
      <w:pPr>
        <w:numPr>
          <w:ilvl w:val="1"/>
          <w:numId w:val="17"/>
        </w:numPr>
        <w:rPr>
          <w:rFonts w:cstheme="minorHAnsi"/>
          <w:lang w:val="en-GB"/>
        </w:rPr>
      </w:pPr>
      <w:r w:rsidRPr="003271FF">
        <w:rPr>
          <w:rFonts w:cstheme="minorHAnsi"/>
          <w:b/>
          <w:bCs/>
          <w:lang w:val="en-GB"/>
        </w:rPr>
        <w:t>The Protective Mandate:</w:t>
      </w:r>
      <w:r w:rsidRPr="003271FF">
        <w:rPr>
          <w:rFonts w:cstheme="minorHAnsi"/>
          <w:lang w:val="en-GB"/>
        </w:rPr>
        <w:t xml:space="preserve"> Reviews State Reports submitted by governments every two years, conducts country monitoring and fact-finding visits, and considers </w:t>
      </w:r>
      <w:r w:rsidRPr="003271FF">
        <w:rPr>
          <w:rFonts w:cstheme="minorHAnsi"/>
          <w:i/>
          <w:iCs/>
          <w:lang w:val="en-GB"/>
        </w:rPr>
        <w:t>Communications</w:t>
      </w:r>
      <w:r w:rsidRPr="003271FF">
        <w:rPr>
          <w:rFonts w:cstheme="minorHAnsi"/>
          <w:lang w:val="en-GB"/>
        </w:rPr>
        <w:t xml:space="preserve"> (complaints) regarding human rights violations filed by member states, individuals, or non-governmental organizations (NGOs).</w:t>
      </w:r>
    </w:p>
    <w:p w:rsidR="0073773E" w:rsidRPr="003271FF" w:rsidRDefault="0073773E" w:rsidP="0073773E">
      <w:pPr>
        <w:rPr>
          <w:rFonts w:cstheme="minorHAnsi"/>
          <w:b/>
          <w:bCs/>
          <w:color w:val="0070C0"/>
          <w:lang w:val="en-GB"/>
        </w:rPr>
      </w:pPr>
      <w:r w:rsidRPr="003271FF">
        <w:rPr>
          <w:rFonts w:cstheme="minorHAnsi"/>
          <w:b/>
          <w:bCs/>
          <w:color w:val="0070C0"/>
          <w:lang w:val="en-GB"/>
        </w:rPr>
        <w:lastRenderedPageBreak/>
        <w:t>2. The African Court on Human and Peoples' Rights (AfCHPR)</w:t>
      </w:r>
    </w:p>
    <w:p w:rsidR="0073773E" w:rsidRPr="003271FF" w:rsidRDefault="0073773E" w:rsidP="0073773E">
      <w:pPr>
        <w:rPr>
          <w:rFonts w:cstheme="minorHAnsi"/>
          <w:lang w:val="en-GB"/>
        </w:rPr>
      </w:pPr>
      <w:r w:rsidRPr="003271FF">
        <w:rPr>
          <w:rFonts w:cstheme="minorHAnsi"/>
          <w:lang w:val="en-GB"/>
        </w:rPr>
        <w:t xml:space="preserve">To strengthen regional enforcement, African states adopted the </w:t>
      </w:r>
      <w:r w:rsidRPr="003271FF">
        <w:rPr>
          <w:rFonts w:cstheme="minorHAnsi"/>
          <w:i/>
          <w:iCs/>
          <w:lang w:val="en-GB"/>
        </w:rPr>
        <w:t>Protocol to the African Charter on Human and Peoples’ Rights on the Establishment of an African Court on Human and Peoples’ Rights</w:t>
      </w:r>
      <w:r w:rsidRPr="003271FF">
        <w:rPr>
          <w:rFonts w:cstheme="minorHAnsi"/>
          <w:lang w:val="en-GB"/>
        </w:rPr>
        <w:t xml:space="preserve"> in 1998. The Court became operational in 2006. [1] </w:t>
      </w:r>
    </w:p>
    <w:p w:rsidR="0073773E" w:rsidRPr="003271FF" w:rsidRDefault="0073773E" w:rsidP="0073773E">
      <w:pPr>
        <w:numPr>
          <w:ilvl w:val="0"/>
          <w:numId w:val="18"/>
        </w:numPr>
        <w:rPr>
          <w:rFonts w:cstheme="minorHAnsi"/>
        </w:rPr>
      </w:pPr>
      <w:r w:rsidRPr="003271FF">
        <w:rPr>
          <w:rFonts w:cstheme="minorHAnsi"/>
          <w:b/>
          <w:bCs/>
          <w:lang w:val="en-GB"/>
        </w:rPr>
        <w:t>Institutional Design:</w:t>
      </w:r>
      <w:r w:rsidRPr="003271FF">
        <w:rPr>
          <w:rFonts w:cstheme="minorHAnsi"/>
          <w:lang w:val="en-GB"/>
        </w:rPr>
        <w:t xml:space="preserve"> Formed to complement the protective mandate of the African Commission by delivering legally binding judgments, marking a significant evolution from the non-binding "recommendations" issued by the Commission. </w:t>
      </w:r>
      <w:r w:rsidRPr="003271FF">
        <w:rPr>
          <w:rFonts w:cstheme="minorHAnsi"/>
        </w:rPr>
        <w:t xml:space="preserve">[1] </w:t>
      </w:r>
    </w:p>
    <w:p w:rsidR="0073773E" w:rsidRPr="003271FF" w:rsidRDefault="0073773E" w:rsidP="0073773E">
      <w:pPr>
        <w:numPr>
          <w:ilvl w:val="0"/>
          <w:numId w:val="18"/>
        </w:numPr>
        <w:rPr>
          <w:rFonts w:cstheme="minorHAnsi"/>
        </w:rPr>
      </w:pPr>
      <w:r w:rsidRPr="003271FF">
        <w:rPr>
          <w:rFonts w:cstheme="minorHAnsi"/>
          <w:b/>
          <w:bCs/>
          <w:lang w:val="en-GB"/>
        </w:rPr>
        <w:t>Jurisdiction:</w:t>
      </w:r>
      <w:r w:rsidRPr="003271FF">
        <w:rPr>
          <w:rFonts w:cstheme="minorHAnsi"/>
          <w:lang w:val="en-GB"/>
        </w:rPr>
        <w:t xml:space="preserve"> The Court has broad jurisdiction over all cases concerning the interpretation and application of the African Charter, the Court Protocol, and any other relevant human rights treaties ratified by the concerned member states. </w:t>
      </w:r>
      <w:r w:rsidRPr="003271FF">
        <w:rPr>
          <w:rFonts w:cstheme="minorHAnsi"/>
        </w:rPr>
        <w:t xml:space="preserve">[2, 3] </w:t>
      </w:r>
    </w:p>
    <w:p w:rsidR="0073773E" w:rsidRPr="003271FF" w:rsidRDefault="0073773E" w:rsidP="0073773E">
      <w:pPr>
        <w:numPr>
          <w:ilvl w:val="0"/>
          <w:numId w:val="18"/>
        </w:numPr>
        <w:rPr>
          <w:rFonts w:cstheme="minorHAnsi"/>
          <w:lang w:val="en-GB"/>
        </w:rPr>
      </w:pPr>
      <w:r w:rsidRPr="003271FF">
        <w:rPr>
          <w:rFonts w:cstheme="minorHAnsi"/>
          <w:b/>
          <w:bCs/>
          <w:lang w:val="en-GB"/>
        </w:rPr>
        <w:t>Location:</w:t>
      </w:r>
      <w:r w:rsidRPr="003271FF">
        <w:rPr>
          <w:rFonts w:cstheme="minorHAnsi"/>
          <w:lang w:val="en-GB"/>
        </w:rPr>
        <w:t xml:space="preserve"> Arusha, Tanzania.</w:t>
      </w:r>
    </w:p>
    <w:p w:rsidR="0073773E" w:rsidRPr="003271FF" w:rsidRDefault="0073773E" w:rsidP="0073773E">
      <w:pPr>
        <w:numPr>
          <w:ilvl w:val="0"/>
          <w:numId w:val="18"/>
        </w:numPr>
        <w:rPr>
          <w:rFonts w:cstheme="minorHAnsi"/>
          <w:lang w:val="en-GB"/>
        </w:rPr>
      </w:pPr>
      <w:r w:rsidRPr="003271FF">
        <w:rPr>
          <w:rFonts w:cstheme="minorHAnsi"/>
          <w:b/>
          <w:bCs/>
          <w:lang w:val="en-GB"/>
        </w:rPr>
        <w:t>Structure:</w:t>
      </w:r>
      <w:r w:rsidRPr="003271FF">
        <w:rPr>
          <w:rFonts w:cstheme="minorHAnsi"/>
          <w:lang w:val="en-GB"/>
        </w:rPr>
        <w:t xml:space="preserve"> Consists of 11 independent judges elected by the AU Assembly from among jurists of high moral character and recognized judicial competence.</w:t>
      </w:r>
    </w:p>
    <w:p w:rsidR="0073773E" w:rsidRPr="003271FF" w:rsidRDefault="0073773E" w:rsidP="0073773E">
      <w:pPr>
        <w:numPr>
          <w:ilvl w:val="0"/>
          <w:numId w:val="18"/>
        </w:numPr>
        <w:rPr>
          <w:rFonts w:cstheme="minorHAnsi"/>
          <w:lang w:val="en-GB"/>
        </w:rPr>
      </w:pPr>
      <w:r w:rsidRPr="003271FF">
        <w:rPr>
          <w:rFonts w:cstheme="minorHAnsi"/>
          <w:b/>
          <w:bCs/>
          <w:lang w:val="en-GB"/>
        </w:rPr>
        <w:t>The Access Barrier (The Article 34(6) Hurdle):</w:t>
      </w:r>
      <w:r w:rsidRPr="003271FF">
        <w:rPr>
          <w:rFonts w:cstheme="minorHAnsi"/>
          <w:lang w:val="en-GB"/>
        </w:rPr>
        <w:t xml:space="preserve"> The judicial arm of the system contains a significant structural constraint regarding direct standing:</w:t>
      </w:r>
    </w:p>
    <w:p w:rsidR="0073773E" w:rsidRPr="003271FF" w:rsidRDefault="0073773E" w:rsidP="0073773E">
      <w:pPr>
        <w:numPr>
          <w:ilvl w:val="1"/>
          <w:numId w:val="18"/>
        </w:numPr>
        <w:rPr>
          <w:rFonts w:cstheme="minorHAnsi"/>
          <w:lang w:val="en-GB"/>
        </w:rPr>
      </w:pPr>
      <w:r w:rsidRPr="003271FF">
        <w:rPr>
          <w:rFonts w:cstheme="minorHAnsi"/>
          <w:b/>
          <w:bCs/>
          <w:lang w:val="en-GB"/>
        </w:rPr>
        <w:t>Automatic Standing:</w:t>
      </w:r>
      <w:r w:rsidRPr="003271FF">
        <w:rPr>
          <w:rFonts w:cstheme="minorHAnsi"/>
          <w:lang w:val="en-GB"/>
        </w:rPr>
        <w:t xml:space="preserve"> The African Commission, State Parties, and African Intergovernmental Organizations have automatic standing to submit cases to the Court against any state that has ratified the Court Protocol.</w:t>
      </w:r>
    </w:p>
    <w:p w:rsidR="0073773E" w:rsidRPr="003271FF" w:rsidRDefault="0073773E" w:rsidP="0073773E">
      <w:pPr>
        <w:numPr>
          <w:ilvl w:val="1"/>
          <w:numId w:val="18"/>
        </w:numPr>
        <w:rPr>
          <w:rFonts w:cstheme="minorHAnsi"/>
        </w:rPr>
      </w:pPr>
      <w:r w:rsidRPr="003271FF">
        <w:rPr>
          <w:rFonts w:cstheme="minorHAnsi"/>
          <w:b/>
          <w:bCs/>
          <w:lang w:val="en-GB"/>
        </w:rPr>
        <w:t>The Special Declaration Constraint:</w:t>
      </w:r>
      <w:r w:rsidRPr="003271FF">
        <w:rPr>
          <w:rFonts w:cstheme="minorHAnsi"/>
          <w:lang w:val="en-GB"/>
        </w:rPr>
        <w:t xml:space="preserve"> Individuals and NGOs cannot file applications directly against their government unless that specific state has deposited a special declaration accepting the competence of the Court to receive such cases under </w:t>
      </w:r>
      <w:r w:rsidRPr="003271FF">
        <w:rPr>
          <w:rFonts w:cstheme="minorHAnsi"/>
          <w:b/>
          <w:bCs/>
          <w:lang w:val="en-GB"/>
        </w:rPr>
        <w:t>Article 34(6) of the Court Protocol</w:t>
      </w:r>
      <w:r w:rsidRPr="003271FF">
        <w:rPr>
          <w:rFonts w:cstheme="minorHAnsi"/>
          <w:lang w:val="en-GB"/>
        </w:rPr>
        <w:t xml:space="preserve">. Consequently, most individual complaints must first navigate the Commission's communication procedure in Banjul—a process that can take several years—before potentially reaching the Court. </w:t>
      </w:r>
      <w:r w:rsidRPr="003271FF">
        <w:rPr>
          <w:rFonts w:cstheme="minorHAnsi"/>
        </w:rPr>
        <w:t xml:space="preserve">[4, 5] </w:t>
      </w:r>
    </w:p>
    <w:p w:rsidR="0073773E" w:rsidRPr="003271FF" w:rsidRDefault="0073773E" w:rsidP="0073773E">
      <w:pPr>
        <w:rPr>
          <w:rFonts w:cstheme="minorHAnsi"/>
          <w:b/>
          <w:bCs/>
          <w:lang w:val="en-GB"/>
        </w:rPr>
      </w:pPr>
      <w:r w:rsidRPr="003271FF">
        <w:rPr>
          <w:rFonts w:cstheme="minorHAnsi"/>
          <w:b/>
          <w:bCs/>
          <w:lang w:val="en-GB"/>
        </w:rPr>
        <w:t>3. Landmark Jurisprudence of the African Court</w:t>
      </w:r>
    </w:p>
    <w:p w:rsidR="0073773E" w:rsidRPr="003271FF" w:rsidRDefault="0073773E" w:rsidP="0073773E">
      <w:pPr>
        <w:numPr>
          <w:ilvl w:val="0"/>
          <w:numId w:val="19"/>
        </w:numPr>
        <w:rPr>
          <w:rFonts w:cstheme="minorHAnsi"/>
        </w:rPr>
      </w:pPr>
      <w:r w:rsidRPr="003271FF">
        <w:rPr>
          <w:rFonts w:cstheme="minorHAnsi"/>
          <w:b/>
          <w:bCs/>
          <w:i/>
          <w:iCs/>
          <w:lang w:val="en-GB"/>
        </w:rPr>
        <w:t>Tanganyika Law Society v. Tanzania</w:t>
      </w:r>
      <w:r w:rsidRPr="003271FF">
        <w:rPr>
          <w:rFonts w:cstheme="minorHAnsi"/>
          <w:b/>
          <w:bCs/>
          <w:lang w:val="en-GB"/>
        </w:rPr>
        <w:t xml:space="preserve"> (2013):</w:t>
      </w:r>
      <w:r w:rsidRPr="003271FF">
        <w:rPr>
          <w:rFonts w:cstheme="minorHAnsi"/>
          <w:lang w:val="en-GB"/>
        </w:rPr>
        <w:t xml:space="preserve"> The Court held that blanket domestic bans on independent political candidacy violated fundamental rights to political participation and equality before the law. </w:t>
      </w:r>
      <w:r w:rsidRPr="003271FF">
        <w:rPr>
          <w:rFonts w:cstheme="minorHAnsi"/>
        </w:rPr>
        <w:t xml:space="preserve">[6] </w:t>
      </w:r>
    </w:p>
    <w:p w:rsidR="0073773E" w:rsidRPr="003271FF" w:rsidRDefault="0073773E" w:rsidP="0073773E">
      <w:pPr>
        <w:numPr>
          <w:ilvl w:val="0"/>
          <w:numId w:val="19"/>
        </w:numPr>
        <w:rPr>
          <w:rFonts w:cstheme="minorHAnsi"/>
          <w:lang w:val="en-GB"/>
        </w:rPr>
      </w:pPr>
      <w:r w:rsidRPr="003271FF">
        <w:rPr>
          <w:rFonts w:cstheme="minorHAnsi"/>
          <w:b/>
          <w:bCs/>
          <w:i/>
          <w:iCs/>
          <w:lang w:val="en-GB"/>
        </w:rPr>
        <w:t>Konaté v. Burkina Faso</w:t>
      </w:r>
      <w:r w:rsidRPr="003271FF">
        <w:rPr>
          <w:rFonts w:cstheme="minorHAnsi"/>
          <w:b/>
          <w:bCs/>
          <w:lang w:val="en-GB"/>
        </w:rPr>
        <w:t xml:space="preserve"> (2014):</w:t>
      </w:r>
      <w:r w:rsidRPr="003271FF">
        <w:rPr>
          <w:rFonts w:cstheme="minorHAnsi"/>
          <w:lang w:val="en-GB"/>
        </w:rPr>
        <w:t xml:space="preserve"> A foundational freedom of expression ruling where the Court determined that custodial sentences (imprisonment) for criminal defamation violated Article 9 of the African Charter and failed the international law principle of proportionality.</w:t>
      </w:r>
    </w:p>
    <w:p w:rsidR="0073773E" w:rsidRPr="003271FF" w:rsidRDefault="0073773E" w:rsidP="0073773E">
      <w:pPr>
        <w:numPr>
          <w:ilvl w:val="0"/>
          <w:numId w:val="19"/>
        </w:numPr>
        <w:rPr>
          <w:rFonts w:cstheme="minorHAnsi"/>
        </w:rPr>
      </w:pPr>
      <w:r w:rsidRPr="003271FF">
        <w:rPr>
          <w:rFonts w:cstheme="minorHAnsi"/>
          <w:b/>
          <w:bCs/>
          <w:i/>
          <w:iCs/>
          <w:lang w:val="en-GB"/>
        </w:rPr>
        <w:t>African Commission v. Kenya</w:t>
      </w:r>
      <w:r w:rsidRPr="003271FF">
        <w:rPr>
          <w:rFonts w:cstheme="minorHAnsi"/>
          <w:b/>
          <w:bCs/>
          <w:lang w:val="en-GB"/>
        </w:rPr>
        <w:t xml:space="preserve"> (The Ogiek Case) (2017 Merits, 2022 Reparations):</w:t>
      </w:r>
      <w:r w:rsidRPr="003271FF">
        <w:rPr>
          <w:rFonts w:cstheme="minorHAnsi"/>
          <w:lang w:val="en-GB"/>
        </w:rPr>
        <w:t xml:space="preserve"> A historic ruling in which the Court recognized the ancestral land rights, cultural identity, religious practices, and natural resource rights of the indigenous Ogiek people in Kenya's Mau Forest, setting a continental precedent for rights-based environmental conservation. </w:t>
      </w:r>
      <w:r w:rsidRPr="003271FF">
        <w:rPr>
          <w:rFonts w:cstheme="minorHAnsi"/>
        </w:rPr>
        <w:t xml:space="preserve">[7, 8, 9, 10] </w:t>
      </w:r>
    </w:p>
    <w:p w:rsidR="0073773E" w:rsidRPr="003271FF" w:rsidRDefault="0073773E" w:rsidP="0073773E">
      <w:pPr>
        <w:rPr>
          <w:rFonts w:cstheme="minorHAnsi"/>
          <w:b/>
          <w:bCs/>
          <w:color w:val="00B050"/>
          <w:lang w:val="en-GB"/>
        </w:rPr>
      </w:pPr>
      <w:r w:rsidRPr="003271FF">
        <w:rPr>
          <w:rFonts w:cstheme="minorHAnsi"/>
          <w:b/>
          <w:bCs/>
          <w:color w:val="00B050"/>
          <w:lang w:val="en-GB"/>
        </w:rPr>
        <w:t>IV. ACHIEVEMENTS OF THE SYSTEM</w:t>
      </w:r>
    </w:p>
    <w:p w:rsidR="0073773E" w:rsidRPr="003271FF" w:rsidRDefault="0073773E" w:rsidP="0073773E">
      <w:pPr>
        <w:rPr>
          <w:rFonts w:cstheme="minorHAnsi"/>
          <w:lang w:val="en-GB"/>
        </w:rPr>
      </w:pPr>
      <w:r w:rsidRPr="003271FF">
        <w:rPr>
          <w:rFonts w:cstheme="minorHAnsi"/>
          <w:lang w:val="en-GB"/>
        </w:rPr>
        <w:t>The structural evolution of the African Human Rights Protection System (AHRPS) reflects a growing normative consensus that peace, sustainable development, constitutional democracy, and human rights are inherently interconnected.</w:t>
      </w:r>
    </w:p>
    <w:p w:rsidR="0073773E" w:rsidRPr="003271FF" w:rsidRDefault="0073773E" w:rsidP="0073773E">
      <w:pPr>
        <w:numPr>
          <w:ilvl w:val="0"/>
          <w:numId w:val="20"/>
        </w:numPr>
        <w:rPr>
          <w:rFonts w:cstheme="minorHAnsi"/>
          <w:lang w:val="en-GB"/>
        </w:rPr>
      </w:pPr>
      <w:r w:rsidRPr="003271FF">
        <w:rPr>
          <w:rFonts w:cstheme="minorHAnsi"/>
          <w:b/>
          <w:bCs/>
          <w:color w:val="0070C0"/>
          <w:lang w:val="en-GB"/>
        </w:rPr>
        <w:lastRenderedPageBreak/>
        <w:t>Progressive Jurisprudence</w:t>
      </w:r>
      <w:r w:rsidRPr="003271FF">
        <w:rPr>
          <w:rFonts w:cstheme="minorHAnsi"/>
          <w:b/>
          <w:bCs/>
          <w:lang w:val="en-GB"/>
        </w:rPr>
        <w:t>:</w:t>
      </w:r>
      <w:r w:rsidRPr="003271FF">
        <w:rPr>
          <w:rFonts w:cstheme="minorHAnsi"/>
          <w:lang w:val="en-GB"/>
        </w:rPr>
        <w:t xml:space="preserve"> The system has significantly expanded international law standards regarding indigenous peoples' land rights, gender equality, environmental justice, freedom of the press, and fair trial guarantees.</w:t>
      </w:r>
    </w:p>
    <w:p w:rsidR="0073773E" w:rsidRPr="003271FF" w:rsidRDefault="0073773E" w:rsidP="0073773E">
      <w:pPr>
        <w:numPr>
          <w:ilvl w:val="0"/>
          <w:numId w:val="20"/>
        </w:numPr>
        <w:rPr>
          <w:rFonts w:cstheme="minorHAnsi"/>
        </w:rPr>
      </w:pPr>
      <w:r w:rsidRPr="003271FF">
        <w:rPr>
          <w:rFonts w:cstheme="minorHAnsi"/>
          <w:b/>
          <w:bCs/>
          <w:color w:val="0070C0"/>
          <w:lang w:val="en-GB"/>
        </w:rPr>
        <w:t>Robust Civil Society Engagement</w:t>
      </w:r>
      <w:r w:rsidRPr="003271FF">
        <w:rPr>
          <w:rFonts w:cstheme="minorHAnsi"/>
          <w:b/>
          <w:bCs/>
          <w:lang w:val="en-GB"/>
        </w:rPr>
        <w:t>:</w:t>
      </w:r>
      <w:r w:rsidRPr="003271FF">
        <w:rPr>
          <w:rFonts w:cstheme="minorHAnsi"/>
          <w:lang w:val="en-GB"/>
        </w:rPr>
        <w:t xml:space="preserve"> The ACHPR has granted formal </w:t>
      </w:r>
      <w:r w:rsidRPr="003271FF">
        <w:rPr>
          <w:rFonts w:cstheme="minorHAnsi"/>
          <w:i/>
          <w:iCs/>
          <w:lang w:val="en-GB"/>
        </w:rPr>
        <w:t>Observer Status</w:t>
      </w:r>
      <w:r w:rsidRPr="003271FF">
        <w:rPr>
          <w:rFonts w:cstheme="minorHAnsi"/>
          <w:lang w:val="en-GB"/>
        </w:rPr>
        <w:t xml:space="preserve"> to hundreds of African and international NGOs. This allows civil society to participate in public sessions, submit shadow reports, and actively bring domestic violations to light. </w:t>
      </w:r>
      <w:r w:rsidRPr="003271FF">
        <w:rPr>
          <w:rFonts w:cstheme="minorHAnsi"/>
        </w:rPr>
        <w:t xml:space="preserve">[11] </w:t>
      </w:r>
    </w:p>
    <w:p w:rsidR="0073773E" w:rsidRPr="003271FF" w:rsidRDefault="0073773E" w:rsidP="0073773E">
      <w:pPr>
        <w:rPr>
          <w:rFonts w:cstheme="minorHAnsi"/>
          <w:b/>
          <w:bCs/>
          <w:color w:val="00B050"/>
          <w:lang w:val="en-GB"/>
        </w:rPr>
      </w:pPr>
      <w:r w:rsidRPr="003271FF">
        <w:rPr>
          <w:rFonts w:cstheme="minorHAnsi"/>
          <w:b/>
          <w:bCs/>
          <w:color w:val="00B050"/>
          <w:lang w:val="en-GB"/>
        </w:rPr>
        <w:t>V. SIGNIFICANT CHALLENGES FOR THE SYSTEM</w:t>
      </w:r>
    </w:p>
    <w:p w:rsidR="0073773E" w:rsidRPr="003271FF" w:rsidRDefault="0073773E" w:rsidP="0073773E">
      <w:pPr>
        <w:rPr>
          <w:rFonts w:cstheme="minorHAnsi"/>
          <w:lang w:val="en-GB"/>
        </w:rPr>
      </w:pPr>
      <w:r w:rsidRPr="003271FF">
        <w:rPr>
          <w:rFonts w:cstheme="minorHAnsi"/>
          <w:lang w:val="en-GB"/>
        </w:rPr>
        <w:t>Despite notable normative progress, the system encounters persistent operational and political constraints:</w:t>
      </w:r>
    </w:p>
    <w:p w:rsidR="0073773E" w:rsidRPr="003271FF" w:rsidRDefault="0073773E" w:rsidP="0073773E">
      <w:pPr>
        <w:numPr>
          <w:ilvl w:val="0"/>
          <w:numId w:val="21"/>
        </w:numPr>
        <w:rPr>
          <w:rFonts w:cstheme="minorHAnsi"/>
        </w:rPr>
      </w:pPr>
      <w:r w:rsidRPr="003271FF">
        <w:rPr>
          <w:rFonts w:cstheme="minorHAnsi"/>
          <w:b/>
          <w:bCs/>
          <w:color w:val="0070C0"/>
          <w:lang w:val="en-GB"/>
        </w:rPr>
        <w:t>The Implementation Deficit</w:t>
      </w:r>
      <w:r w:rsidRPr="003271FF">
        <w:rPr>
          <w:rFonts w:cstheme="minorHAnsi"/>
          <w:b/>
          <w:bCs/>
          <w:lang w:val="en-GB"/>
        </w:rPr>
        <w:t>:</w:t>
      </w:r>
      <w:r w:rsidRPr="003271FF">
        <w:rPr>
          <w:rFonts w:cstheme="minorHAnsi"/>
          <w:lang w:val="en-GB"/>
        </w:rPr>
        <w:t xml:space="preserve"> Compliance with regional rulings rests entirely on the political will of individual states. The African Commission's findings remain legally non-binding recommendations, and the African Court possesses no independent enforcement mechanism or police force to compel state execution of its judgments. </w:t>
      </w:r>
      <w:r w:rsidRPr="003271FF">
        <w:rPr>
          <w:rFonts w:cstheme="minorHAnsi"/>
        </w:rPr>
        <w:t xml:space="preserve">[4, 11] </w:t>
      </w:r>
    </w:p>
    <w:p w:rsidR="0073773E" w:rsidRPr="003271FF" w:rsidRDefault="0073773E" w:rsidP="0073773E">
      <w:pPr>
        <w:numPr>
          <w:ilvl w:val="0"/>
          <w:numId w:val="21"/>
        </w:numPr>
        <w:rPr>
          <w:rFonts w:cstheme="minorHAnsi"/>
        </w:rPr>
      </w:pPr>
      <w:r w:rsidRPr="003271FF">
        <w:rPr>
          <w:rFonts w:cstheme="minorHAnsi"/>
          <w:b/>
          <w:bCs/>
          <w:color w:val="0070C0"/>
          <w:lang w:val="en-GB"/>
        </w:rPr>
        <w:t>Sovereign Backlash and Judicial Retreat</w:t>
      </w:r>
      <w:r w:rsidRPr="003271FF">
        <w:rPr>
          <w:rFonts w:cstheme="minorHAnsi"/>
          <w:b/>
          <w:bCs/>
          <w:lang w:val="en-GB"/>
        </w:rPr>
        <w:t>:</w:t>
      </w:r>
      <w:r w:rsidRPr="003271FF">
        <w:rPr>
          <w:rFonts w:cstheme="minorHAnsi"/>
          <w:lang w:val="en-GB"/>
        </w:rPr>
        <w:t xml:space="preserve"> Several states have actively resisted regional accountability. Notably, countries including Rwanda, Tanzania, Benin, and Côte d'Ivoire withdrew their Article 34(6) declarations allowing direct individual access after the Court issued adverse rulings against them regarding sensitive domestic judicial or political matters. </w:t>
      </w:r>
      <w:r w:rsidRPr="003271FF">
        <w:rPr>
          <w:rFonts w:cstheme="minorHAnsi"/>
        </w:rPr>
        <w:t xml:space="preserve">[4] </w:t>
      </w:r>
    </w:p>
    <w:p w:rsidR="0073773E" w:rsidRPr="003271FF" w:rsidRDefault="0073773E" w:rsidP="0073773E">
      <w:pPr>
        <w:numPr>
          <w:ilvl w:val="0"/>
          <w:numId w:val="21"/>
        </w:numPr>
        <w:rPr>
          <w:rFonts w:cstheme="minorHAnsi"/>
        </w:rPr>
      </w:pPr>
      <w:r w:rsidRPr="003271FF">
        <w:rPr>
          <w:rFonts w:cstheme="minorHAnsi"/>
          <w:b/>
          <w:bCs/>
          <w:color w:val="0070C0"/>
          <w:lang w:val="en-GB"/>
        </w:rPr>
        <w:t>Severe Financial and Resource Underfunding:</w:t>
      </w:r>
      <w:r w:rsidRPr="003271FF">
        <w:rPr>
          <w:rFonts w:cstheme="minorHAnsi"/>
          <w:color w:val="0070C0"/>
          <w:lang w:val="en-GB"/>
        </w:rPr>
        <w:t xml:space="preserve"> </w:t>
      </w:r>
      <w:r w:rsidRPr="003271FF">
        <w:rPr>
          <w:rFonts w:cstheme="minorHAnsi"/>
          <w:lang w:val="en-GB"/>
        </w:rPr>
        <w:t xml:space="preserve">The Commission and the Court continuously operate under acute budget constraints, leaving them heavily reliant on international donor funding to execute core investigative, promotional, and field monitoring missions. </w:t>
      </w:r>
      <w:r w:rsidRPr="003271FF">
        <w:rPr>
          <w:rFonts w:cstheme="minorHAnsi"/>
        </w:rPr>
        <w:t xml:space="preserve">[12] </w:t>
      </w:r>
    </w:p>
    <w:p w:rsidR="0073773E" w:rsidRPr="003271FF" w:rsidRDefault="0073773E" w:rsidP="0073773E">
      <w:pPr>
        <w:numPr>
          <w:ilvl w:val="0"/>
          <w:numId w:val="21"/>
        </w:numPr>
        <w:rPr>
          <w:rFonts w:cstheme="minorHAnsi"/>
          <w:lang w:val="en-GB"/>
        </w:rPr>
      </w:pPr>
      <w:r w:rsidRPr="003271FF">
        <w:rPr>
          <w:rFonts w:cstheme="minorHAnsi"/>
          <w:b/>
          <w:bCs/>
          <w:color w:val="0070C0"/>
          <w:lang w:val="en-GB"/>
        </w:rPr>
        <w:t>Systemic Intersecting Crises</w:t>
      </w:r>
      <w:r w:rsidRPr="003271FF">
        <w:rPr>
          <w:rFonts w:cstheme="minorHAnsi"/>
          <w:b/>
          <w:bCs/>
          <w:lang w:val="en-GB"/>
        </w:rPr>
        <w:t>:</w:t>
      </w:r>
      <w:r w:rsidRPr="003271FF">
        <w:rPr>
          <w:rFonts w:cstheme="minorHAnsi"/>
          <w:lang w:val="en-GB"/>
        </w:rPr>
        <w:t xml:space="preserve"> The protective capacity of the architecture is constantly strained by broader continental challenges:</w:t>
      </w:r>
    </w:p>
    <w:p w:rsidR="0073773E" w:rsidRPr="003271FF" w:rsidRDefault="0073773E" w:rsidP="0073773E">
      <w:pPr>
        <w:numPr>
          <w:ilvl w:val="1"/>
          <w:numId w:val="21"/>
        </w:numPr>
        <w:rPr>
          <w:rFonts w:cstheme="minorHAnsi"/>
          <w:lang w:val="en-GB"/>
        </w:rPr>
      </w:pPr>
      <w:r w:rsidRPr="003271FF">
        <w:rPr>
          <w:rFonts w:cstheme="minorHAnsi"/>
          <w:lang w:val="en-GB"/>
        </w:rPr>
        <w:t>Armed conflicts, violent extremism, and transnational terrorism.</w:t>
      </w:r>
    </w:p>
    <w:p w:rsidR="0073773E" w:rsidRPr="003271FF" w:rsidRDefault="0073773E" w:rsidP="0073773E">
      <w:pPr>
        <w:numPr>
          <w:ilvl w:val="1"/>
          <w:numId w:val="21"/>
        </w:numPr>
        <w:rPr>
          <w:rFonts w:cstheme="minorHAnsi"/>
          <w:lang w:val="en-GB"/>
        </w:rPr>
      </w:pPr>
      <w:r w:rsidRPr="003271FF">
        <w:rPr>
          <w:rFonts w:cstheme="minorHAnsi"/>
          <w:lang w:val="en-GB"/>
        </w:rPr>
        <w:t>Political instability, constitutional subversion, and unconstitutional changes of government (coups d'état).</w:t>
      </w:r>
    </w:p>
    <w:p w:rsidR="0073773E" w:rsidRPr="003271FF" w:rsidRDefault="0073773E" w:rsidP="0073773E">
      <w:pPr>
        <w:numPr>
          <w:ilvl w:val="1"/>
          <w:numId w:val="21"/>
        </w:numPr>
        <w:rPr>
          <w:rFonts w:cstheme="minorHAnsi"/>
          <w:lang w:val="en-GB"/>
        </w:rPr>
      </w:pPr>
      <w:r w:rsidRPr="003271FF">
        <w:rPr>
          <w:rFonts w:cstheme="minorHAnsi"/>
          <w:lang w:val="en-GB"/>
        </w:rPr>
        <w:t>Draconian restrictions on civic space, civil society actors, and freedom of expression.</w:t>
      </w:r>
    </w:p>
    <w:p w:rsidR="0073773E" w:rsidRPr="003271FF" w:rsidRDefault="0073773E" w:rsidP="0073773E">
      <w:pPr>
        <w:numPr>
          <w:ilvl w:val="1"/>
          <w:numId w:val="21"/>
        </w:numPr>
        <w:rPr>
          <w:rFonts w:cstheme="minorHAnsi"/>
          <w:lang w:val="en-GB"/>
        </w:rPr>
      </w:pPr>
      <w:r w:rsidRPr="003271FF">
        <w:rPr>
          <w:rFonts w:cstheme="minorHAnsi"/>
          <w:lang w:val="en-GB"/>
        </w:rPr>
        <w:t>Massive refugee movements and internal migration crises.</w:t>
      </w:r>
    </w:p>
    <w:p w:rsidR="0073773E" w:rsidRPr="003271FF" w:rsidRDefault="0073773E" w:rsidP="0073773E">
      <w:pPr>
        <w:numPr>
          <w:ilvl w:val="1"/>
          <w:numId w:val="21"/>
        </w:numPr>
        <w:rPr>
          <w:rFonts w:cstheme="minorHAnsi"/>
        </w:rPr>
      </w:pPr>
      <w:r w:rsidRPr="003271FF">
        <w:rPr>
          <w:rFonts w:cstheme="minorHAnsi"/>
          <w:lang w:val="en-GB"/>
        </w:rPr>
        <w:t xml:space="preserve">Chronic poverty, structural underdevelopment, and socioeconomic inequality. </w:t>
      </w:r>
      <w:r w:rsidRPr="003271FF">
        <w:rPr>
          <w:rFonts w:cstheme="minorHAnsi"/>
        </w:rPr>
        <w:t xml:space="preserve">[12] </w:t>
      </w:r>
    </w:p>
    <w:p w:rsidR="0073773E" w:rsidRPr="003271FF" w:rsidRDefault="0073773E" w:rsidP="0073773E">
      <w:pPr>
        <w:rPr>
          <w:rFonts w:cstheme="minorHAnsi"/>
          <w:b/>
          <w:bCs/>
          <w:color w:val="00B050"/>
          <w:lang w:val="en-GB"/>
        </w:rPr>
      </w:pPr>
      <w:r w:rsidRPr="003271FF">
        <w:rPr>
          <w:rFonts w:cstheme="minorHAnsi"/>
          <w:b/>
          <w:bCs/>
          <w:color w:val="00B050"/>
          <w:lang w:val="en-GB"/>
        </w:rPr>
        <w:t>VI. FUTURE OF THE SYSTEM AND REFORM PROSPECTS</w:t>
      </w:r>
    </w:p>
    <w:p w:rsidR="0073773E" w:rsidRPr="003271FF" w:rsidRDefault="0073773E" w:rsidP="0073773E">
      <w:pPr>
        <w:rPr>
          <w:rFonts w:cstheme="minorHAnsi"/>
          <w:lang w:val="en-GB"/>
        </w:rPr>
      </w:pPr>
      <w:r w:rsidRPr="003271FF">
        <w:rPr>
          <w:rFonts w:cstheme="minorHAnsi"/>
          <w:lang w:val="en-GB"/>
        </w:rPr>
        <w:t>Contemporary institutional reforms and debates within the African Union focus on several key pillars:</w:t>
      </w:r>
    </w:p>
    <w:p w:rsidR="0073773E" w:rsidRPr="003271FF" w:rsidRDefault="0073773E" w:rsidP="0073773E">
      <w:pPr>
        <w:numPr>
          <w:ilvl w:val="0"/>
          <w:numId w:val="22"/>
        </w:numPr>
        <w:rPr>
          <w:rFonts w:cstheme="minorHAnsi"/>
          <w:lang w:val="en-GB"/>
        </w:rPr>
      </w:pPr>
      <w:r w:rsidRPr="003271FF">
        <w:rPr>
          <w:rFonts w:cstheme="minorHAnsi"/>
          <w:lang w:val="en-GB"/>
        </w:rPr>
        <w:t>Designing stronger, centralized compliance monitoring mechanisms within the AU political organs.</w:t>
      </w:r>
    </w:p>
    <w:p w:rsidR="0073773E" w:rsidRPr="003271FF" w:rsidRDefault="0073773E" w:rsidP="0073773E">
      <w:pPr>
        <w:numPr>
          <w:ilvl w:val="0"/>
          <w:numId w:val="22"/>
        </w:numPr>
        <w:rPr>
          <w:rFonts w:cstheme="minorHAnsi"/>
          <w:lang w:val="en-GB"/>
        </w:rPr>
      </w:pPr>
      <w:r w:rsidRPr="003271FF">
        <w:rPr>
          <w:rFonts w:cstheme="minorHAnsi"/>
          <w:lang w:val="en-GB"/>
        </w:rPr>
        <w:t>Standardizing enforcement rules to ensure states respect regional judicial orders.</w:t>
      </w:r>
    </w:p>
    <w:p w:rsidR="0073773E" w:rsidRPr="003271FF" w:rsidRDefault="0073773E" w:rsidP="0073773E">
      <w:pPr>
        <w:numPr>
          <w:ilvl w:val="0"/>
          <w:numId w:val="22"/>
        </w:numPr>
        <w:rPr>
          <w:rFonts w:cstheme="minorHAnsi"/>
          <w:lang w:val="en-GB"/>
        </w:rPr>
      </w:pPr>
      <w:r w:rsidRPr="003271FF">
        <w:rPr>
          <w:rFonts w:cstheme="minorHAnsi"/>
          <w:lang w:val="en-GB"/>
        </w:rPr>
        <w:t>Expanding the material jurisdiction of regional judicial mechanisms (such as the proposed integration of an international criminal law section into an African Court of Justice and Human Rights).</w:t>
      </w:r>
    </w:p>
    <w:p w:rsidR="0073773E" w:rsidRPr="003271FF" w:rsidRDefault="0073773E" w:rsidP="0073773E">
      <w:pPr>
        <w:numPr>
          <w:ilvl w:val="0"/>
          <w:numId w:val="22"/>
        </w:numPr>
        <w:rPr>
          <w:rFonts w:cstheme="minorHAnsi"/>
          <w:lang w:val="en-GB"/>
        </w:rPr>
      </w:pPr>
      <w:r w:rsidRPr="003271FF">
        <w:rPr>
          <w:rFonts w:cstheme="minorHAnsi"/>
          <w:lang w:val="en-GB"/>
        </w:rPr>
        <w:lastRenderedPageBreak/>
        <w:t>Securing predictable, sustainable internal funding from AU member states to eliminate external donor dependency.</w:t>
      </w:r>
    </w:p>
    <w:p w:rsidR="0073773E" w:rsidRPr="003271FF" w:rsidRDefault="0073773E" w:rsidP="0073773E">
      <w:pPr>
        <w:numPr>
          <w:ilvl w:val="0"/>
          <w:numId w:val="22"/>
        </w:numPr>
        <w:rPr>
          <w:rFonts w:cstheme="minorHAnsi"/>
        </w:rPr>
      </w:pPr>
      <w:r w:rsidRPr="003271FF">
        <w:rPr>
          <w:rFonts w:cstheme="minorHAnsi"/>
          <w:lang w:val="en-GB"/>
        </w:rPr>
        <w:t xml:space="preserve">Broadening civil society participation pathways to bypass state-level restrictions. </w:t>
      </w:r>
      <w:r w:rsidRPr="003271FF">
        <w:rPr>
          <w:rFonts w:cstheme="minorHAnsi"/>
        </w:rPr>
        <w:t xml:space="preserve">[11] </w:t>
      </w:r>
    </w:p>
    <w:p w:rsidR="0073773E" w:rsidRPr="003271FF" w:rsidRDefault="0073773E" w:rsidP="0073773E">
      <w:pPr>
        <w:rPr>
          <w:rFonts w:cstheme="minorHAnsi"/>
          <w:b/>
          <w:bCs/>
          <w:color w:val="00B050"/>
          <w:lang w:val="en-GB"/>
        </w:rPr>
      </w:pPr>
      <w:r w:rsidRPr="003271FF">
        <w:rPr>
          <w:rFonts w:cstheme="minorHAnsi"/>
          <w:b/>
          <w:bCs/>
          <w:color w:val="00B050"/>
          <w:lang w:val="en-GB"/>
        </w:rPr>
        <w:t>CONCLUSION</w:t>
      </w:r>
    </w:p>
    <w:p w:rsidR="0073773E" w:rsidRPr="003271FF" w:rsidRDefault="0073773E" w:rsidP="0073773E">
      <w:pPr>
        <w:rPr>
          <w:rFonts w:cstheme="minorHAnsi"/>
        </w:rPr>
      </w:pPr>
      <w:r w:rsidRPr="003271FF">
        <w:rPr>
          <w:rFonts w:cstheme="minorHAnsi"/>
          <w:lang w:val="en-GB"/>
        </w:rPr>
        <w:t>The African Human Rights Protection System represents one of the most innovative and conceptually advanced regional architectures in the world. Its distinctiveness lies in its ability to:</w:t>
      </w:r>
    </w:p>
    <w:p w:rsidR="0073773E" w:rsidRPr="003271FF" w:rsidRDefault="0073773E" w:rsidP="0073773E">
      <w:pPr>
        <w:numPr>
          <w:ilvl w:val="0"/>
          <w:numId w:val="23"/>
        </w:numPr>
        <w:rPr>
          <w:rFonts w:cstheme="minorHAnsi"/>
          <w:lang w:val="en-GB"/>
        </w:rPr>
      </w:pPr>
      <w:r w:rsidRPr="003271FF">
        <w:rPr>
          <w:rFonts w:cstheme="minorHAnsi"/>
          <w:lang w:val="en-GB"/>
        </w:rPr>
        <w:t>Eradicate the traditional hierarchy of rights by treating civil-political and socio-economic rights as entirely indivisible.</w:t>
      </w:r>
    </w:p>
    <w:p w:rsidR="0073773E" w:rsidRPr="003271FF" w:rsidRDefault="0073773E" w:rsidP="0073773E">
      <w:pPr>
        <w:numPr>
          <w:ilvl w:val="0"/>
          <w:numId w:val="23"/>
        </w:numPr>
        <w:rPr>
          <w:rFonts w:cstheme="minorHAnsi"/>
          <w:lang w:val="en-GB"/>
        </w:rPr>
      </w:pPr>
      <w:r w:rsidRPr="003271FF">
        <w:rPr>
          <w:rFonts w:cstheme="minorHAnsi"/>
          <w:lang w:val="en-GB"/>
        </w:rPr>
        <w:t>Codify and protect collective "peoples'" rights, bridging international law with communal values.</w:t>
      </w:r>
    </w:p>
    <w:p w:rsidR="0073773E" w:rsidRPr="003271FF" w:rsidRDefault="0073773E" w:rsidP="0073773E">
      <w:pPr>
        <w:numPr>
          <w:ilvl w:val="0"/>
          <w:numId w:val="23"/>
        </w:numPr>
        <w:rPr>
          <w:rFonts w:cstheme="minorHAnsi"/>
          <w:lang w:val="en-GB"/>
        </w:rPr>
      </w:pPr>
      <w:r w:rsidRPr="003271FF">
        <w:rPr>
          <w:rFonts w:cstheme="minorHAnsi"/>
          <w:lang w:val="en-GB"/>
        </w:rPr>
        <w:t>Balance rights with explicit individual duties toward the family, community, and the State.</w:t>
      </w:r>
    </w:p>
    <w:p w:rsidR="0073773E" w:rsidRPr="003271FF" w:rsidRDefault="0073773E" w:rsidP="0073773E">
      <w:pPr>
        <w:numPr>
          <w:ilvl w:val="0"/>
          <w:numId w:val="23"/>
        </w:numPr>
        <w:rPr>
          <w:rFonts w:cstheme="minorHAnsi"/>
        </w:rPr>
      </w:pPr>
      <w:r w:rsidRPr="003271FF">
        <w:rPr>
          <w:rFonts w:cstheme="minorHAnsi"/>
          <w:lang w:val="en-GB"/>
        </w:rPr>
        <w:t xml:space="preserve">Direct its normative framework to address African historical realities, from anti-colonial struggles to modern democratic governance. </w:t>
      </w:r>
      <w:r w:rsidRPr="003271FF">
        <w:rPr>
          <w:rFonts w:cstheme="minorHAnsi"/>
        </w:rPr>
        <w:t xml:space="preserve">[13, 14] </w:t>
      </w:r>
    </w:p>
    <w:p w:rsidR="0073773E" w:rsidRPr="003271FF" w:rsidRDefault="0073773E" w:rsidP="0073773E">
      <w:pPr>
        <w:rPr>
          <w:rFonts w:cstheme="minorHAnsi"/>
          <w:lang w:val="en-GB"/>
        </w:rPr>
      </w:pPr>
      <w:r w:rsidRPr="003271FF">
        <w:rPr>
          <w:rFonts w:cstheme="minorHAnsi"/>
          <w:lang w:val="en-GB"/>
        </w:rPr>
        <w:t>While the system faces profound implementation hurdles and political resistance, its expanding body of jurisprudence and specialized instruments ensure that it remains a vital, central bulwark for the rule of law and human dignity across the continent.</w:t>
      </w:r>
    </w:p>
    <w:p w:rsidR="0073773E" w:rsidRPr="003271FF" w:rsidRDefault="0073773E" w:rsidP="0073773E">
      <w:pPr>
        <w:rPr>
          <w:rFonts w:cstheme="minorHAnsi"/>
          <w:b/>
          <w:bCs/>
          <w:color w:val="00B050"/>
        </w:rPr>
      </w:pPr>
      <w:r w:rsidRPr="003271FF">
        <w:rPr>
          <w:rFonts w:cstheme="minorHAnsi"/>
          <w:b/>
          <w:bCs/>
          <w:color w:val="00B050"/>
        </w:rPr>
        <w:t>BIBLIOGRAPHY</w:t>
      </w:r>
    </w:p>
    <w:p w:rsidR="0073773E" w:rsidRPr="00F36605" w:rsidRDefault="0073773E" w:rsidP="0073773E">
      <w:pPr>
        <w:rPr>
          <w:rFonts w:cstheme="minorHAnsi"/>
          <w:b/>
          <w:bCs/>
          <w:color w:val="0070C0"/>
          <w:lang w:val="en-GB"/>
        </w:rPr>
      </w:pPr>
      <w:r w:rsidRPr="00F36605">
        <w:rPr>
          <w:rFonts w:cstheme="minorHAnsi"/>
          <w:b/>
          <w:bCs/>
          <w:color w:val="0070C0"/>
          <w:lang w:val="en-GB"/>
        </w:rPr>
        <w:t>Primary Legal Instruments</w:t>
      </w:r>
    </w:p>
    <w:p w:rsidR="0073773E" w:rsidRPr="003271FF" w:rsidRDefault="0073773E" w:rsidP="0073773E">
      <w:pPr>
        <w:numPr>
          <w:ilvl w:val="0"/>
          <w:numId w:val="24"/>
        </w:numPr>
        <w:rPr>
          <w:rFonts w:cstheme="minorHAnsi"/>
          <w:lang w:val="en-GB"/>
        </w:rPr>
      </w:pPr>
      <w:r w:rsidRPr="003271FF">
        <w:rPr>
          <w:rFonts w:cstheme="minorHAnsi"/>
          <w:lang w:val="en-GB"/>
        </w:rPr>
        <w:t xml:space="preserve">Organization of African Unity (OAU), </w:t>
      </w:r>
      <w:r w:rsidRPr="003271FF">
        <w:rPr>
          <w:rFonts w:cstheme="minorHAnsi"/>
          <w:i/>
          <w:iCs/>
          <w:lang w:val="en-GB"/>
        </w:rPr>
        <w:t>African Charter on Human and Peoples’ Rights</w:t>
      </w:r>
      <w:r w:rsidRPr="003271FF">
        <w:rPr>
          <w:rFonts w:cstheme="minorHAnsi"/>
          <w:lang w:val="en-GB"/>
        </w:rPr>
        <w:t xml:space="preserve"> ("Banjul Charter"), 1981.</w:t>
      </w:r>
    </w:p>
    <w:p w:rsidR="0073773E" w:rsidRPr="003271FF" w:rsidRDefault="0073773E" w:rsidP="0073773E">
      <w:pPr>
        <w:numPr>
          <w:ilvl w:val="0"/>
          <w:numId w:val="24"/>
        </w:numPr>
        <w:rPr>
          <w:rFonts w:cstheme="minorHAnsi"/>
          <w:lang w:val="en-GB"/>
        </w:rPr>
      </w:pPr>
      <w:r w:rsidRPr="003271FF">
        <w:rPr>
          <w:rFonts w:cstheme="minorHAnsi"/>
          <w:lang w:val="en-GB"/>
        </w:rPr>
        <w:t xml:space="preserve">OAU, </w:t>
      </w:r>
      <w:r w:rsidRPr="003271FF">
        <w:rPr>
          <w:rFonts w:cstheme="minorHAnsi"/>
          <w:i/>
          <w:iCs/>
          <w:lang w:val="en-GB"/>
        </w:rPr>
        <w:t>Protocol to the African Charter on Human and Peoples’ Rights on the Establishment of an African Court on Human and Peoples’ Rights</w:t>
      </w:r>
      <w:r w:rsidRPr="003271FF">
        <w:rPr>
          <w:rFonts w:cstheme="minorHAnsi"/>
          <w:lang w:val="en-GB"/>
        </w:rPr>
        <w:t>, 1998.</w:t>
      </w:r>
    </w:p>
    <w:p w:rsidR="0073773E" w:rsidRPr="003271FF" w:rsidRDefault="0073773E" w:rsidP="0073773E">
      <w:pPr>
        <w:numPr>
          <w:ilvl w:val="0"/>
          <w:numId w:val="24"/>
        </w:numPr>
        <w:rPr>
          <w:rFonts w:cstheme="minorHAnsi"/>
          <w:lang w:val="en-GB"/>
        </w:rPr>
      </w:pPr>
      <w:r w:rsidRPr="003271FF">
        <w:rPr>
          <w:rFonts w:cstheme="minorHAnsi"/>
          <w:lang w:val="en-GB"/>
        </w:rPr>
        <w:t xml:space="preserve">African Union (AU), </w:t>
      </w:r>
      <w:r w:rsidRPr="003271FF">
        <w:rPr>
          <w:rFonts w:cstheme="minorHAnsi"/>
          <w:i/>
          <w:iCs/>
          <w:lang w:val="en-GB"/>
        </w:rPr>
        <w:t>Protocol to the African Charter on Human and Peoples’ Rights on the Rights of Women in Africa</w:t>
      </w:r>
      <w:r w:rsidRPr="003271FF">
        <w:rPr>
          <w:rFonts w:cstheme="minorHAnsi"/>
          <w:lang w:val="en-GB"/>
        </w:rPr>
        <w:t xml:space="preserve"> ("Maputo Protocol"), 2003.</w:t>
      </w:r>
    </w:p>
    <w:p w:rsidR="0073773E" w:rsidRPr="003271FF" w:rsidRDefault="0073773E" w:rsidP="0073773E">
      <w:pPr>
        <w:numPr>
          <w:ilvl w:val="0"/>
          <w:numId w:val="24"/>
        </w:numPr>
        <w:rPr>
          <w:rFonts w:cstheme="minorHAnsi"/>
          <w:lang w:val="en-GB"/>
        </w:rPr>
      </w:pPr>
      <w:r w:rsidRPr="003271FF">
        <w:rPr>
          <w:rFonts w:cstheme="minorHAnsi"/>
          <w:lang w:val="en-GB"/>
        </w:rPr>
        <w:t xml:space="preserve">AU, </w:t>
      </w:r>
      <w:r w:rsidRPr="003271FF">
        <w:rPr>
          <w:rFonts w:cstheme="minorHAnsi"/>
          <w:i/>
          <w:iCs/>
          <w:lang w:val="en-GB"/>
        </w:rPr>
        <w:t>African Charter on the Rights and Welfare of the Child</w:t>
      </w:r>
      <w:r w:rsidRPr="003271FF">
        <w:rPr>
          <w:rFonts w:cstheme="minorHAnsi"/>
          <w:lang w:val="en-GB"/>
        </w:rPr>
        <w:t>, 1990.</w:t>
      </w:r>
    </w:p>
    <w:p w:rsidR="0073773E" w:rsidRPr="003271FF" w:rsidRDefault="0073773E" w:rsidP="0073773E">
      <w:pPr>
        <w:numPr>
          <w:ilvl w:val="0"/>
          <w:numId w:val="24"/>
        </w:numPr>
        <w:rPr>
          <w:rFonts w:cstheme="minorHAnsi"/>
          <w:lang w:val="en-GB"/>
        </w:rPr>
      </w:pPr>
      <w:r w:rsidRPr="003271FF">
        <w:rPr>
          <w:rFonts w:cstheme="minorHAnsi"/>
          <w:lang w:val="en-GB"/>
        </w:rPr>
        <w:t xml:space="preserve">AU, </w:t>
      </w:r>
      <w:r w:rsidRPr="003271FF">
        <w:rPr>
          <w:rFonts w:cstheme="minorHAnsi"/>
          <w:i/>
          <w:iCs/>
          <w:lang w:val="en-GB"/>
        </w:rPr>
        <w:t>African Charter on Democracy, Elections and Governance</w:t>
      </w:r>
      <w:r w:rsidRPr="003271FF">
        <w:rPr>
          <w:rFonts w:cstheme="minorHAnsi"/>
          <w:lang w:val="en-GB"/>
        </w:rPr>
        <w:t xml:space="preserve"> (ACDEG), 2007.</w:t>
      </w:r>
    </w:p>
    <w:p w:rsidR="0073773E" w:rsidRPr="003271FF" w:rsidRDefault="0073773E" w:rsidP="0073773E">
      <w:pPr>
        <w:numPr>
          <w:ilvl w:val="0"/>
          <w:numId w:val="24"/>
        </w:numPr>
        <w:rPr>
          <w:rFonts w:cstheme="minorHAnsi"/>
          <w:lang w:val="en-GB"/>
        </w:rPr>
      </w:pPr>
      <w:r w:rsidRPr="003271FF">
        <w:rPr>
          <w:rFonts w:cstheme="minorHAnsi"/>
          <w:lang w:val="en-GB"/>
        </w:rPr>
        <w:t xml:space="preserve">AU, </w:t>
      </w:r>
      <w:r w:rsidRPr="003271FF">
        <w:rPr>
          <w:rFonts w:cstheme="minorHAnsi"/>
          <w:i/>
          <w:iCs/>
          <w:lang w:val="en-GB"/>
        </w:rPr>
        <w:t>Protocol to the African Charter on Human and Peoples' Rights on the Rights of Older Persons in Africa</w:t>
      </w:r>
      <w:r w:rsidRPr="003271FF">
        <w:rPr>
          <w:rFonts w:cstheme="minorHAnsi"/>
          <w:lang w:val="en-GB"/>
        </w:rPr>
        <w:t>, 2016.</w:t>
      </w:r>
    </w:p>
    <w:p w:rsidR="0073773E" w:rsidRPr="003271FF" w:rsidRDefault="0073773E" w:rsidP="0073773E">
      <w:pPr>
        <w:numPr>
          <w:ilvl w:val="0"/>
          <w:numId w:val="24"/>
        </w:numPr>
        <w:rPr>
          <w:rFonts w:cstheme="minorHAnsi"/>
          <w:lang w:val="en-GB"/>
        </w:rPr>
      </w:pPr>
      <w:r w:rsidRPr="003271FF">
        <w:rPr>
          <w:rFonts w:cstheme="minorHAnsi"/>
          <w:lang w:val="en-GB"/>
        </w:rPr>
        <w:t xml:space="preserve">AU, </w:t>
      </w:r>
      <w:r w:rsidRPr="003271FF">
        <w:rPr>
          <w:rFonts w:cstheme="minorHAnsi"/>
          <w:i/>
          <w:iCs/>
          <w:lang w:val="en-GB"/>
        </w:rPr>
        <w:t>Protocol to the African Charter on Human and Peoples' Rights on the Rights of Persons with Disabilities in Africa</w:t>
      </w:r>
      <w:r w:rsidRPr="003271FF">
        <w:rPr>
          <w:rFonts w:cstheme="minorHAnsi"/>
          <w:lang w:val="en-GB"/>
        </w:rPr>
        <w:t>, 2018.</w:t>
      </w:r>
    </w:p>
    <w:p w:rsidR="0073773E" w:rsidRPr="003271FF" w:rsidRDefault="0073773E" w:rsidP="0073773E">
      <w:pPr>
        <w:numPr>
          <w:ilvl w:val="0"/>
          <w:numId w:val="24"/>
        </w:numPr>
        <w:rPr>
          <w:rFonts w:cstheme="minorHAnsi"/>
          <w:lang w:val="en-GB"/>
        </w:rPr>
      </w:pPr>
      <w:r w:rsidRPr="003271FF">
        <w:rPr>
          <w:rFonts w:cstheme="minorHAnsi"/>
          <w:lang w:val="en-GB"/>
        </w:rPr>
        <w:t xml:space="preserve">OAU, </w:t>
      </w:r>
      <w:r w:rsidRPr="003271FF">
        <w:rPr>
          <w:rFonts w:cstheme="minorHAnsi"/>
          <w:i/>
          <w:iCs/>
          <w:lang w:val="en-GB"/>
        </w:rPr>
        <w:t>Convention Governing the Specific Aspects of Refugee Problems in Africa</w:t>
      </w:r>
      <w:r w:rsidRPr="003271FF">
        <w:rPr>
          <w:rFonts w:cstheme="minorHAnsi"/>
          <w:lang w:val="en-GB"/>
        </w:rPr>
        <w:t>, 1969.</w:t>
      </w:r>
    </w:p>
    <w:p w:rsidR="0073773E" w:rsidRPr="003271FF" w:rsidRDefault="0073773E" w:rsidP="0073773E">
      <w:pPr>
        <w:numPr>
          <w:ilvl w:val="0"/>
          <w:numId w:val="24"/>
        </w:numPr>
        <w:rPr>
          <w:rFonts w:cstheme="minorHAnsi"/>
          <w:lang w:val="en-GB"/>
        </w:rPr>
      </w:pPr>
      <w:r w:rsidRPr="003271FF">
        <w:rPr>
          <w:rFonts w:cstheme="minorHAnsi"/>
          <w:lang w:val="en-GB"/>
        </w:rPr>
        <w:t xml:space="preserve">AU, </w:t>
      </w:r>
      <w:r w:rsidRPr="003271FF">
        <w:rPr>
          <w:rFonts w:cstheme="minorHAnsi"/>
          <w:i/>
          <w:iCs/>
          <w:lang w:val="en-GB"/>
        </w:rPr>
        <w:t>Convention for the Protection and Assistance of Internally Displaced Persons in Africa</w:t>
      </w:r>
      <w:r w:rsidRPr="003271FF">
        <w:rPr>
          <w:rFonts w:cstheme="minorHAnsi"/>
          <w:lang w:val="en-GB"/>
        </w:rPr>
        <w:t xml:space="preserve"> ("Kampala Convention"), 2009.</w:t>
      </w:r>
    </w:p>
    <w:p w:rsidR="0073773E" w:rsidRPr="003271FF" w:rsidRDefault="0073773E" w:rsidP="007E234C">
      <w:pPr>
        <w:rPr>
          <w:rFonts w:cstheme="minorHAnsi"/>
          <w:lang w:val="en-GB"/>
        </w:rPr>
      </w:pPr>
      <w:r w:rsidRPr="003271FF">
        <w:rPr>
          <w:rFonts w:cstheme="minorHAnsi"/>
          <w:i/>
          <w:iCs/>
          <w:lang w:val="en-GB"/>
        </w:rPr>
        <w:t>For a comprehensive repository of institutional instruments, consult the African Union Treaties Database.</w:t>
      </w:r>
      <w:r w:rsidRPr="003271FF">
        <w:rPr>
          <w:rFonts w:cstheme="minorHAnsi"/>
          <w:lang w:val="en-GB"/>
        </w:rPr>
        <w:t xml:space="preserve"> </w:t>
      </w:r>
    </w:p>
    <w:p w:rsidR="007E234C" w:rsidRPr="003271FF" w:rsidRDefault="007E234C" w:rsidP="007E234C">
      <w:pPr>
        <w:ind w:left="720"/>
        <w:rPr>
          <w:rFonts w:cstheme="minorHAnsi"/>
          <w:lang w:val="en-GB"/>
        </w:rPr>
      </w:pPr>
    </w:p>
    <w:p w:rsidR="0073773E" w:rsidRPr="003271FF" w:rsidRDefault="0073773E" w:rsidP="0073773E">
      <w:pPr>
        <w:rPr>
          <w:rFonts w:cstheme="minorHAnsi"/>
          <w:b/>
          <w:bCs/>
          <w:color w:val="0070C0"/>
        </w:rPr>
      </w:pPr>
      <w:r w:rsidRPr="003271FF">
        <w:rPr>
          <w:rFonts w:cstheme="minorHAnsi"/>
          <w:b/>
          <w:bCs/>
          <w:color w:val="0070C0"/>
        </w:rPr>
        <w:lastRenderedPageBreak/>
        <w:t>Selected Academic References (English)</w:t>
      </w:r>
    </w:p>
    <w:p w:rsidR="0073773E" w:rsidRPr="003271FF" w:rsidRDefault="0073773E" w:rsidP="0073773E">
      <w:pPr>
        <w:numPr>
          <w:ilvl w:val="0"/>
          <w:numId w:val="25"/>
        </w:numPr>
        <w:rPr>
          <w:rFonts w:cstheme="minorHAnsi"/>
          <w:lang w:val="en-GB"/>
        </w:rPr>
      </w:pPr>
      <w:r w:rsidRPr="003271FF">
        <w:rPr>
          <w:rFonts w:cstheme="minorHAnsi"/>
          <w:lang w:val="en-GB"/>
        </w:rPr>
        <w:t xml:space="preserve">Viljoen, Frans. </w:t>
      </w:r>
      <w:r w:rsidRPr="003271FF">
        <w:rPr>
          <w:rFonts w:cstheme="minorHAnsi"/>
          <w:i/>
          <w:iCs/>
          <w:lang w:val="en-GB"/>
        </w:rPr>
        <w:t>International Human Rights Law in Africa</w:t>
      </w:r>
      <w:r w:rsidRPr="003271FF">
        <w:rPr>
          <w:rFonts w:cstheme="minorHAnsi"/>
          <w:lang w:val="en-GB"/>
        </w:rPr>
        <w:t>. Oxford University Press, 2012.</w:t>
      </w:r>
    </w:p>
    <w:p w:rsidR="0073773E" w:rsidRPr="003271FF" w:rsidRDefault="0073773E" w:rsidP="0073773E">
      <w:pPr>
        <w:numPr>
          <w:ilvl w:val="0"/>
          <w:numId w:val="25"/>
        </w:numPr>
        <w:rPr>
          <w:rFonts w:cstheme="minorHAnsi"/>
          <w:lang w:val="en-GB"/>
        </w:rPr>
      </w:pPr>
      <w:r w:rsidRPr="003271FF">
        <w:rPr>
          <w:rFonts w:cstheme="minorHAnsi"/>
          <w:lang w:val="en-GB"/>
        </w:rPr>
        <w:t xml:space="preserve">Murray, Rachel. </w:t>
      </w:r>
      <w:r w:rsidRPr="003271FF">
        <w:rPr>
          <w:rFonts w:cstheme="minorHAnsi"/>
          <w:i/>
          <w:iCs/>
          <w:lang w:val="en-GB"/>
        </w:rPr>
        <w:t>The African Charter on Human and Peoples’ Rights: A Commentary</w:t>
      </w:r>
      <w:r w:rsidRPr="003271FF">
        <w:rPr>
          <w:rFonts w:cstheme="minorHAnsi"/>
          <w:lang w:val="en-GB"/>
        </w:rPr>
        <w:t>. Oxford University Press, 2019.</w:t>
      </w:r>
    </w:p>
    <w:p w:rsidR="0073773E" w:rsidRPr="003271FF" w:rsidRDefault="0073773E" w:rsidP="0073773E">
      <w:pPr>
        <w:numPr>
          <w:ilvl w:val="0"/>
          <w:numId w:val="25"/>
        </w:numPr>
        <w:rPr>
          <w:rFonts w:cstheme="minorHAnsi"/>
          <w:lang w:val="en-GB"/>
        </w:rPr>
      </w:pPr>
      <w:r w:rsidRPr="003271FF">
        <w:rPr>
          <w:rFonts w:cstheme="minorHAnsi"/>
          <w:lang w:val="en-GB"/>
        </w:rPr>
        <w:t xml:space="preserve">Evans, Malcolm, and Murray, Rachel, eds. </w:t>
      </w:r>
      <w:r w:rsidRPr="003271FF">
        <w:rPr>
          <w:rFonts w:cstheme="minorHAnsi"/>
          <w:i/>
          <w:iCs/>
          <w:lang w:val="en-GB"/>
        </w:rPr>
        <w:t>The African Charter on Human and Peoples’ Rights: The System in Practice</w:t>
      </w:r>
      <w:r w:rsidRPr="003271FF">
        <w:rPr>
          <w:rFonts w:cstheme="minorHAnsi"/>
          <w:lang w:val="en-GB"/>
        </w:rPr>
        <w:t>. Cambridge University Press, 2002.</w:t>
      </w:r>
    </w:p>
    <w:p w:rsidR="0073773E" w:rsidRPr="003271FF" w:rsidRDefault="0073773E" w:rsidP="0073773E">
      <w:pPr>
        <w:numPr>
          <w:ilvl w:val="0"/>
          <w:numId w:val="25"/>
        </w:numPr>
        <w:rPr>
          <w:rFonts w:cstheme="minorHAnsi"/>
          <w:lang w:val="en-GB"/>
        </w:rPr>
      </w:pPr>
      <w:r w:rsidRPr="003271FF">
        <w:rPr>
          <w:rFonts w:cstheme="minorHAnsi"/>
          <w:lang w:val="en-GB"/>
        </w:rPr>
        <w:t xml:space="preserve">Heyns, Christof. </w:t>
      </w:r>
      <w:r w:rsidRPr="003271FF">
        <w:rPr>
          <w:rFonts w:cstheme="minorHAnsi"/>
          <w:i/>
          <w:iCs/>
          <w:lang w:val="en-GB"/>
        </w:rPr>
        <w:t>Human Rights Law in Africa</w:t>
      </w:r>
      <w:r w:rsidRPr="003271FF">
        <w:rPr>
          <w:rFonts w:cstheme="minorHAnsi"/>
          <w:lang w:val="en-GB"/>
        </w:rPr>
        <w:t>. Martinus Nijhoff Publishers, 2004.</w:t>
      </w:r>
    </w:p>
    <w:p w:rsidR="0073773E" w:rsidRPr="003271FF" w:rsidRDefault="0073773E" w:rsidP="0073773E">
      <w:pPr>
        <w:numPr>
          <w:ilvl w:val="0"/>
          <w:numId w:val="25"/>
        </w:numPr>
        <w:rPr>
          <w:rFonts w:cstheme="minorHAnsi"/>
          <w:lang w:val="en-GB"/>
        </w:rPr>
      </w:pPr>
      <w:r w:rsidRPr="003271FF">
        <w:rPr>
          <w:rFonts w:cstheme="minorHAnsi"/>
          <w:lang w:val="en-GB"/>
        </w:rPr>
        <w:t xml:space="preserve">Mutua, Makau. </w:t>
      </w:r>
      <w:r w:rsidRPr="003271FF">
        <w:rPr>
          <w:rFonts w:cstheme="minorHAnsi"/>
          <w:i/>
          <w:iCs/>
          <w:lang w:val="en-GB"/>
        </w:rPr>
        <w:t>The African Human Rights System: A Critical Evaluation</w:t>
      </w:r>
      <w:r w:rsidRPr="003271FF">
        <w:rPr>
          <w:rFonts w:cstheme="minorHAnsi"/>
          <w:lang w:val="en-GB"/>
        </w:rPr>
        <w:t>. UNDP Human Development Reports, 2000. Available via the UNDP Repository.</w:t>
      </w:r>
    </w:p>
    <w:p w:rsidR="0073773E" w:rsidRPr="003271FF" w:rsidRDefault="0073773E" w:rsidP="006A6595">
      <w:pPr>
        <w:rPr>
          <w:rFonts w:cstheme="minorHAnsi"/>
          <w:b/>
          <w:bCs/>
          <w:color w:val="0070C0"/>
          <w:lang w:val="en-GB"/>
        </w:rPr>
      </w:pPr>
      <w:r w:rsidRPr="003271FF">
        <w:rPr>
          <w:rFonts w:cstheme="minorHAnsi"/>
          <w:b/>
          <w:bCs/>
          <w:color w:val="0070C0"/>
          <w:lang w:val="en-GB"/>
        </w:rPr>
        <w:t>Publications of Prof. Kha</w:t>
      </w:r>
      <w:r w:rsidR="00102F37">
        <w:rPr>
          <w:rFonts w:cstheme="minorHAnsi"/>
          <w:b/>
          <w:bCs/>
          <w:color w:val="0070C0"/>
          <w:lang w:val="en-GB"/>
        </w:rPr>
        <w:t>dija Elmadmad (References</w:t>
      </w:r>
      <w:r w:rsidR="006A6595">
        <w:rPr>
          <w:rFonts w:cstheme="minorHAnsi"/>
          <w:b/>
          <w:bCs/>
          <w:color w:val="0070C0"/>
          <w:lang w:val="en-GB"/>
        </w:rPr>
        <w:t xml:space="preserve"> in French</w:t>
      </w:r>
      <w:r w:rsidR="00102F37">
        <w:rPr>
          <w:rFonts w:cstheme="minorHAnsi"/>
          <w:b/>
          <w:bCs/>
          <w:color w:val="0070C0"/>
          <w:lang w:val="en-GB"/>
        </w:rPr>
        <w:t>)</w:t>
      </w:r>
    </w:p>
    <w:p w:rsidR="0073773E" w:rsidRPr="003271FF" w:rsidRDefault="0073773E" w:rsidP="0073773E">
      <w:pPr>
        <w:numPr>
          <w:ilvl w:val="0"/>
          <w:numId w:val="26"/>
        </w:numPr>
        <w:rPr>
          <w:rFonts w:cstheme="minorHAnsi"/>
        </w:rPr>
      </w:pPr>
      <w:r w:rsidRPr="003271FF">
        <w:rPr>
          <w:rFonts w:cstheme="minorHAnsi"/>
        </w:rPr>
        <w:t xml:space="preserve">Elmadmad, Khadija. </w:t>
      </w:r>
      <w:r w:rsidRPr="003271FF">
        <w:rPr>
          <w:rFonts w:cstheme="minorHAnsi"/>
          <w:i/>
          <w:iCs/>
        </w:rPr>
        <w:t>Les droits de l’homme en Afrique et en Asie</w:t>
      </w:r>
      <w:r w:rsidRPr="003271FF">
        <w:rPr>
          <w:rFonts w:cstheme="minorHAnsi"/>
        </w:rPr>
        <w:t>. Institut International des Droits de l’Homme, Dix-septième Session d’Enseignement, Strasbourg, Recueil des cours, 1986.</w:t>
      </w:r>
    </w:p>
    <w:p w:rsidR="0073773E" w:rsidRPr="003271FF" w:rsidRDefault="0073773E" w:rsidP="0073773E">
      <w:pPr>
        <w:numPr>
          <w:ilvl w:val="0"/>
          <w:numId w:val="26"/>
        </w:numPr>
        <w:rPr>
          <w:rFonts w:cstheme="minorHAnsi"/>
        </w:rPr>
      </w:pPr>
      <w:r w:rsidRPr="003271FF">
        <w:rPr>
          <w:rFonts w:cstheme="minorHAnsi"/>
        </w:rPr>
        <w:t xml:space="preserve">Elmadmad, Khadija. "Les droits de l'homme en Afrique / Atelier et Séminaire de Banjul de novembre 1989." </w:t>
      </w:r>
      <w:r w:rsidRPr="003271FF">
        <w:rPr>
          <w:rFonts w:cstheme="minorHAnsi"/>
          <w:i/>
          <w:iCs/>
        </w:rPr>
        <w:t>Revue universelle des droits de l’homme</w:t>
      </w:r>
      <w:r w:rsidRPr="003271FF">
        <w:rPr>
          <w:rFonts w:cstheme="minorHAnsi"/>
        </w:rPr>
        <w:t>, Vol. 1, N° 1-12, N.P. Engel Publisher, Kehl/Strasbourg, 1989, p. 510. Indexed via the Corte Suprema de Justicia de la Nación Argentina.</w:t>
      </w:r>
    </w:p>
    <w:p w:rsidR="0073773E" w:rsidRPr="003271FF" w:rsidRDefault="0073773E" w:rsidP="0073773E">
      <w:pPr>
        <w:numPr>
          <w:ilvl w:val="0"/>
          <w:numId w:val="26"/>
        </w:numPr>
        <w:rPr>
          <w:rFonts w:cstheme="minorHAnsi"/>
        </w:rPr>
      </w:pPr>
      <w:r w:rsidRPr="003271FF">
        <w:rPr>
          <w:rFonts w:cstheme="minorHAnsi"/>
        </w:rPr>
        <w:t xml:space="preserve">Elmadmad, Khadija. "Les droits de la femme dans la Charte africaine des droits de l’homme et des peuples." </w:t>
      </w:r>
      <w:r w:rsidRPr="003271FF">
        <w:rPr>
          <w:rFonts w:cstheme="minorHAnsi"/>
          <w:i/>
          <w:iCs/>
        </w:rPr>
        <w:t>Revue Afrique 2000</w:t>
      </w:r>
      <w:r w:rsidRPr="003271FF">
        <w:rPr>
          <w:rFonts w:cstheme="minorHAnsi"/>
        </w:rPr>
        <w:t>, Institut Panafricain des Relations Internationales (IPRI), N° 14, 1993, pp. 21-37. Archived in the AfricaBib Database.</w:t>
      </w:r>
    </w:p>
    <w:p w:rsidR="0073773E" w:rsidRPr="003271FF" w:rsidRDefault="0073773E" w:rsidP="0073773E">
      <w:pPr>
        <w:numPr>
          <w:ilvl w:val="0"/>
          <w:numId w:val="26"/>
        </w:numPr>
        <w:rPr>
          <w:rFonts w:cstheme="minorHAnsi"/>
        </w:rPr>
      </w:pPr>
      <w:r w:rsidRPr="003271FF">
        <w:rPr>
          <w:rFonts w:cstheme="minorHAnsi"/>
        </w:rPr>
        <w:t xml:space="preserve">Elmadmad, Khadija. "Femmes et droits de l’homme." </w:t>
      </w:r>
      <w:r w:rsidR="006645E9" w:rsidRPr="003271FF">
        <w:rPr>
          <w:rFonts w:cstheme="minorHAnsi"/>
          <w:i/>
          <w:iCs/>
        </w:rPr>
        <w:t>Prologue :</w:t>
      </w:r>
      <w:r w:rsidRPr="003271FF">
        <w:rPr>
          <w:rFonts w:cstheme="minorHAnsi"/>
          <w:i/>
          <w:iCs/>
        </w:rPr>
        <w:t xml:space="preserve"> Revue maghrébine du livre</w:t>
      </w:r>
      <w:r w:rsidRPr="003271FF">
        <w:rPr>
          <w:rFonts w:cstheme="minorHAnsi"/>
        </w:rPr>
        <w:t>, N° 9, Casablanca, 1997, pp. 34-38. Reference profile via Fondation Roi Abdul-Aziz Al Saoud.</w:t>
      </w:r>
    </w:p>
    <w:sectPr w:rsidR="0073773E" w:rsidRPr="003271F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C87" w:rsidRDefault="00606C87" w:rsidP="00287577">
      <w:pPr>
        <w:spacing w:after="0" w:line="240" w:lineRule="auto"/>
      </w:pPr>
      <w:r>
        <w:separator/>
      </w:r>
    </w:p>
  </w:endnote>
  <w:endnote w:type="continuationSeparator" w:id="0">
    <w:p w:rsidR="00606C87" w:rsidRDefault="00606C87" w:rsidP="00287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205" w:rsidRDefault="0006720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284659"/>
      <w:docPartObj>
        <w:docPartGallery w:val="Page Numbers (Bottom of Page)"/>
        <w:docPartUnique/>
      </w:docPartObj>
    </w:sdtPr>
    <w:sdtEndPr/>
    <w:sdtContent>
      <w:p w:rsidR="00067205" w:rsidRDefault="00067205">
        <w:pPr>
          <w:pStyle w:val="Pieddepage"/>
          <w:jc w:val="right"/>
        </w:pPr>
        <w:r>
          <w:fldChar w:fldCharType="begin"/>
        </w:r>
        <w:r>
          <w:instrText>PAGE   \* MERGEFORMAT</w:instrText>
        </w:r>
        <w:r>
          <w:fldChar w:fldCharType="separate"/>
        </w:r>
        <w:r w:rsidR="003F35C4">
          <w:rPr>
            <w:noProof/>
          </w:rPr>
          <w:t>1</w:t>
        </w:r>
        <w:r>
          <w:fldChar w:fldCharType="end"/>
        </w:r>
      </w:p>
    </w:sdtContent>
  </w:sdt>
  <w:p w:rsidR="00287577" w:rsidRDefault="0028757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205" w:rsidRDefault="0006720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C87" w:rsidRDefault="00606C87" w:rsidP="00287577">
      <w:pPr>
        <w:spacing w:after="0" w:line="240" w:lineRule="auto"/>
      </w:pPr>
      <w:r>
        <w:separator/>
      </w:r>
    </w:p>
  </w:footnote>
  <w:footnote w:type="continuationSeparator" w:id="0">
    <w:p w:rsidR="00606C87" w:rsidRDefault="00606C87" w:rsidP="002875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205" w:rsidRDefault="0006720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205" w:rsidRDefault="0006720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205" w:rsidRDefault="0006720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9653D"/>
    <w:multiLevelType w:val="multilevel"/>
    <w:tmpl w:val="3BBC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22949"/>
    <w:multiLevelType w:val="multilevel"/>
    <w:tmpl w:val="FA10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D02CA"/>
    <w:multiLevelType w:val="multilevel"/>
    <w:tmpl w:val="44FA9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A46C8"/>
    <w:multiLevelType w:val="multilevel"/>
    <w:tmpl w:val="4016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0776D"/>
    <w:multiLevelType w:val="multilevel"/>
    <w:tmpl w:val="D94A9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AD3922"/>
    <w:multiLevelType w:val="multilevel"/>
    <w:tmpl w:val="1E8C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2012B"/>
    <w:multiLevelType w:val="multilevel"/>
    <w:tmpl w:val="F648D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716EDE"/>
    <w:multiLevelType w:val="multilevel"/>
    <w:tmpl w:val="F37C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44F0B"/>
    <w:multiLevelType w:val="multilevel"/>
    <w:tmpl w:val="23E69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8C3167"/>
    <w:multiLevelType w:val="multilevel"/>
    <w:tmpl w:val="FF1A3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15C03"/>
    <w:multiLevelType w:val="multilevel"/>
    <w:tmpl w:val="318E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7111A1"/>
    <w:multiLevelType w:val="multilevel"/>
    <w:tmpl w:val="1DF2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EC11EB"/>
    <w:multiLevelType w:val="multilevel"/>
    <w:tmpl w:val="B80E7A2C"/>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1440" w:hanging="360"/>
      </w:pPr>
      <w:rPr>
        <w:rFonts w:ascii="Calibri" w:eastAsia="Times New Roman" w:hAnsi="Calibri" w:cs="Calibr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5F7E89"/>
    <w:multiLevelType w:val="multilevel"/>
    <w:tmpl w:val="2710D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8B09D5"/>
    <w:multiLevelType w:val="multilevel"/>
    <w:tmpl w:val="B06C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832F9"/>
    <w:multiLevelType w:val="multilevel"/>
    <w:tmpl w:val="7EFC1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E017DF"/>
    <w:multiLevelType w:val="multilevel"/>
    <w:tmpl w:val="14EE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F018AA"/>
    <w:multiLevelType w:val="multilevel"/>
    <w:tmpl w:val="F07E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DC3855"/>
    <w:multiLevelType w:val="multilevel"/>
    <w:tmpl w:val="96AA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ED6232"/>
    <w:multiLevelType w:val="multilevel"/>
    <w:tmpl w:val="BB3E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4A6342"/>
    <w:multiLevelType w:val="multilevel"/>
    <w:tmpl w:val="6D1EB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CD3ED3"/>
    <w:multiLevelType w:val="multilevel"/>
    <w:tmpl w:val="C958F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A93335"/>
    <w:multiLevelType w:val="multilevel"/>
    <w:tmpl w:val="877C1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2176E5"/>
    <w:multiLevelType w:val="multilevel"/>
    <w:tmpl w:val="E7EA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0B5ABE"/>
    <w:multiLevelType w:val="multilevel"/>
    <w:tmpl w:val="07A24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B62289"/>
    <w:multiLevelType w:val="multilevel"/>
    <w:tmpl w:val="2A904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4627AD"/>
    <w:multiLevelType w:val="multilevel"/>
    <w:tmpl w:val="C12C6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10"/>
  </w:num>
  <w:num w:numId="4">
    <w:abstractNumId w:val="23"/>
  </w:num>
  <w:num w:numId="5">
    <w:abstractNumId w:val="7"/>
  </w:num>
  <w:num w:numId="6">
    <w:abstractNumId w:val="20"/>
  </w:num>
  <w:num w:numId="7">
    <w:abstractNumId w:val="6"/>
  </w:num>
  <w:num w:numId="8">
    <w:abstractNumId w:val="11"/>
  </w:num>
  <w:num w:numId="9">
    <w:abstractNumId w:val="12"/>
  </w:num>
  <w:num w:numId="10">
    <w:abstractNumId w:val="22"/>
  </w:num>
  <w:num w:numId="11">
    <w:abstractNumId w:val="13"/>
  </w:num>
  <w:num w:numId="12">
    <w:abstractNumId w:val="9"/>
  </w:num>
  <w:num w:numId="13">
    <w:abstractNumId w:val="26"/>
  </w:num>
  <w:num w:numId="14">
    <w:abstractNumId w:val="18"/>
  </w:num>
  <w:num w:numId="15">
    <w:abstractNumId w:val="16"/>
  </w:num>
  <w:num w:numId="16">
    <w:abstractNumId w:val="15"/>
  </w:num>
  <w:num w:numId="17">
    <w:abstractNumId w:val="24"/>
  </w:num>
  <w:num w:numId="18">
    <w:abstractNumId w:val="4"/>
  </w:num>
  <w:num w:numId="19">
    <w:abstractNumId w:val="3"/>
  </w:num>
  <w:num w:numId="20">
    <w:abstractNumId w:val="17"/>
  </w:num>
  <w:num w:numId="21">
    <w:abstractNumId w:val="8"/>
  </w:num>
  <w:num w:numId="22">
    <w:abstractNumId w:val="19"/>
  </w:num>
  <w:num w:numId="23">
    <w:abstractNumId w:val="0"/>
  </w:num>
  <w:num w:numId="24">
    <w:abstractNumId w:val="25"/>
  </w:num>
  <w:num w:numId="25">
    <w:abstractNumId w:val="2"/>
  </w:num>
  <w:num w:numId="26">
    <w:abstractNumId w:val="21"/>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73E"/>
    <w:rsid w:val="00015C21"/>
    <w:rsid w:val="00067205"/>
    <w:rsid w:val="000B7474"/>
    <w:rsid w:val="000C7910"/>
    <w:rsid w:val="00102F37"/>
    <w:rsid w:val="001200D1"/>
    <w:rsid w:val="001F2A7A"/>
    <w:rsid w:val="0023310E"/>
    <w:rsid w:val="002333CE"/>
    <w:rsid w:val="00275DEE"/>
    <w:rsid w:val="00287577"/>
    <w:rsid w:val="002C41E2"/>
    <w:rsid w:val="002C7C0E"/>
    <w:rsid w:val="002E71BB"/>
    <w:rsid w:val="003271FF"/>
    <w:rsid w:val="00351BB9"/>
    <w:rsid w:val="00352F57"/>
    <w:rsid w:val="00357586"/>
    <w:rsid w:val="003F2EA3"/>
    <w:rsid w:val="003F35C4"/>
    <w:rsid w:val="004348E4"/>
    <w:rsid w:val="00442803"/>
    <w:rsid w:val="00442A2D"/>
    <w:rsid w:val="004768BC"/>
    <w:rsid w:val="004A3CC1"/>
    <w:rsid w:val="004B3062"/>
    <w:rsid w:val="004B713E"/>
    <w:rsid w:val="004C006D"/>
    <w:rsid w:val="004C3326"/>
    <w:rsid w:val="004F29A9"/>
    <w:rsid w:val="00505F34"/>
    <w:rsid w:val="00521C7F"/>
    <w:rsid w:val="00527632"/>
    <w:rsid w:val="00561FE9"/>
    <w:rsid w:val="00581AEB"/>
    <w:rsid w:val="005C4AFD"/>
    <w:rsid w:val="005F3CDF"/>
    <w:rsid w:val="00606C87"/>
    <w:rsid w:val="00657979"/>
    <w:rsid w:val="006645E9"/>
    <w:rsid w:val="006A6595"/>
    <w:rsid w:val="006D00FB"/>
    <w:rsid w:val="006F6003"/>
    <w:rsid w:val="00710F58"/>
    <w:rsid w:val="007354B7"/>
    <w:rsid w:val="0073773E"/>
    <w:rsid w:val="00760F76"/>
    <w:rsid w:val="007E234C"/>
    <w:rsid w:val="00801397"/>
    <w:rsid w:val="00805010"/>
    <w:rsid w:val="008208A5"/>
    <w:rsid w:val="00852198"/>
    <w:rsid w:val="008544A7"/>
    <w:rsid w:val="008737EF"/>
    <w:rsid w:val="008E0D22"/>
    <w:rsid w:val="00904A7F"/>
    <w:rsid w:val="00966D52"/>
    <w:rsid w:val="00A32332"/>
    <w:rsid w:val="00A511E9"/>
    <w:rsid w:val="00A62B58"/>
    <w:rsid w:val="00A96FD1"/>
    <w:rsid w:val="00B64D0D"/>
    <w:rsid w:val="00B7486C"/>
    <w:rsid w:val="00BE1DFB"/>
    <w:rsid w:val="00BE70F3"/>
    <w:rsid w:val="00C26D6B"/>
    <w:rsid w:val="00C32D73"/>
    <w:rsid w:val="00CF4263"/>
    <w:rsid w:val="00D0041A"/>
    <w:rsid w:val="00D31E13"/>
    <w:rsid w:val="00D85998"/>
    <w:rsid w:val="00DE2928"/>
    <w:rsid w:val="00E80F31"/>
    <w:rsid w:val="00EE27C5"/>
    <w:rsid w:val="00EE69A0"/>
    <w:rsid w:val="00F0366B"/>
    <w:rsid w:val="00F2277E"/>
    <w:rsid w:val="00F36605"/>
    <w:rsid w:val="00FB756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91E06E-DF89-4D38-8C02-E37D0F3D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3773E"/>
    <w:pPr>
      <w:spacing w:after="0" w:line="240" w:lineRule="auto"/>
    </w:pPr>
  </w:style>
  <w:style w:type="character" w:styleId="Lienhypertexte">
    <w:name w:val="Hyperlink"/>
    <w:basedOn w:val="Policepardfaut"/>
    <w:uiPriority w:val="99"/>
    <w:unhideWhenUsed/>
    <w:rsid w:val="0073773E"/>
    <w:rPr>
      <w:color w:val="0563C1" w:themeColor="hyperlink"/>
      <w:u w:val="single"/>
    </w:rPr>
  </w:style>
  <w:style w:type="paragraph" w:styleId="En-tte">
    <w:name w:val="header"/>
    <w:basedOn w:val="Normal"/>
    <w:link w:val="En-tteCar"/>
    <w:uiPriority w:val="99"/>
    <w:unhideWhenUsed/>
    <w:rsid w:val="00287577"/>
    <w:pPr>
      <w:tabs>
        <w:tab w:val="center" w:pos="4536"/>
        <w:tab w:val="right" w:pos="9072"/>
      </w:tabs>
      <w:spacing w:after="0" w:line="240" w:lineRule="auto"/>
    </w:pPr>
  </w:style>
  <w:style w:type="character" w:customStyle="1" w:styleId="En-tteCar">
    <w:name w:val="En-tête Car"/>
    <w:basedOn w:val="Policepardfaut"/>
    <w:link w:val="En-tte"/>
    <w:uiPriority w:val="99"/>
    <w:rsid w:val="00287577"/>
  </w:style>
  <w:style w:type="paragraph" w:styleId="Pieddepage">
    <w:name w:val="footer"/>
    <w:basedOn w:val="Normal"/>
    <w:link w:val="PieddepageCar"/>
    <w:uiPriority w:val="99"/>
    <w:unhideWhenUsed/>
    <w:rsid w:val="002875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7577"/>
  </w:style>
  <w:style w:type="paragraph" w:styleId="Paragraphedeliste">
    <w:name w:val="List Paragraph"/>
    <w:basedOn w:val="Normal"/>
    <w:uiPriority w:val="34"/>
    <w:qFormat/>
    <w:rsid w:val="00352F57"/>
    <w:pPr>
      <w:ind w:left="720"/>
      <w:contextualSpacing/>
    </w:pPr>
  </w:style>
  <w:style w:type="character" w:styleId="lev">
    <w:name w:val="Strong"/>
    <w:basedOn w:val="Policepardfaut"/>
    <w:uiPriority w:val="22"/>
    <w:qFormat/>
    <w:rsid w:val="00CF42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3580</Words>
  <Characters>19693</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23227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2026-09-06T14:44:00Z</dcterms:created>
  <dcterms:modified xsi:type="dcterms:W3CDTF">2026-09-06T14:44:00Z</dcterms:modified>
</cp:coreProperties>
</file>